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4B29" w14:textId="4651F493" w:rsidR="000210F7" w:rsidRPr="0050757C" w:rsidRDefault="004F38FF">
      <w:pPr>
        <w:spacing w:after="508" w:line="265" w:lineRule="auto"/>
        <w:ind w:left="-5"/>
        <w:jc w:val="left"/>
      </w:pPr>
      <w:r w:rsidRPr="0050757C">
        <w:rPr>
          <w:b/>
        </w:rPr>
        <w:t xml:space="preserve">Bogotá D.C. </w:t>
      </w:r>
      <w:r w:rsidR="00F375DB">
        <w:rPr>
          <w:b/>
        </w:rPr>
        <w:t>14</w:t>
      </w:r>
      <w:r w:rsidR="00DB64AE" w:rsidRPr="0050757C">
        <w:rPr>
          <w:b/>
        </w:rPr>
        <w:t xml:space="preserve"> de </w:t>
      </w:r>
      <w:r w:rsidR="00F05068">
        <w:rPr>
          <w:b/>
        </w:rPr>
        <w:t>ma</w:t>
      </w:r>
      <w:r w:rsidR="00F375DB">
        <w:rPr>
          <w:b/>
        </w:rPr>
        <w:t>y</w:t>
      </w:r>
      <w:r w:rsidR="00F05068">
        <w:rPr>
          <w:b/>
        </w:rPr>
        <w:t>o</w:t>
      </w:r>
      <w:r w:rsidR="00DB64AE" w:rsidRPr="0050757C">
        <w:rPr>
          <w:b/>
        </w:rPr>
        <w:t xml:space="preserve"> de 2026</w:t>
      </w:r>
    </w:p>
    <w:p w14:paraId="6C693EB5" w14:textId="5121164F" w:rsidR="000210F7" w:rsidRPr="0050757C" w:rsidRDefault="004F38FF">
      <w:pPr>
        <w:spacing w:after="0" w:line="265" w:lineRule="auto"/>
        <w:ind w:left="-5"/>
        <w:jc w:val="left"/>
      </w:pPr>
      <w:r w:rsidRPr="0050757C">
        <w:rPr>
          <w:b/>
        </w:rPr>
        <w:t>Señora Juez</w:t>
      </w:r>
      <w:r w:rsidR="00F375DB">
        <w:rPr>
          <w:b/>
        </w:rPr>
        <w:t>.</w:t>
      </w:r>
    </w:p>
    <w:p w14:paraId="31D82396" w14:textId="72841B88" w:rsidR="00475E70" w:rsidRDefault="00F375DB">
      <w:pPr>
        <w:spacing w:after="9"/>
        <w:ind w:left="-5"/>
      </w:pPr>
      <w:r>
        <w:t>Aura Luz Rubio Narváez.</w:t>
      </w:r>
    </w:p>
    <w:p w14:paraId="7BE13222" w14:textId="0572BB1C" w:rsidR="000210F7" w:rsidRPr="0050757C" w:rsidRDefault="00F375DB">
      <w:pPr>
        <w:spacing w:after="9"/>
        <w:ind w:left="-5"/>
      </w:pPr>
      <w:r w:rsidRPr="00F375DB">
        <w:t xml:space="preserve">JUZGADO PENAL DEL CIRCUITO TÚQUERRES </w:t>
      </w:r>
      <w:r>
        <w:t>–</w:t>
      </w:r>
      <w:r w:rsidRPr="00F375DB">
        <w:t xml:space="preserve"> NARIÑO</w:t>
      </w:r>
      <w:r>
        <w:t>.</w:t>
      </w:r>
      <w:r w:rsidR="004F38FF" w:rsidRPr="0050757C">
        <w:t xml:space="preserve"> </w:t>
      </w:r>
    </w:p>
    <w:p w14:paraId="7407B304" w14:textId="5EA4C771" w:rsidR="000210F7" w:rsidRPr="0050757C" w:rsidRDefault="00F375DB">
      <w:pPr>
        <w:ind w:left="-5"/>
      </w:pPr>
      <w:r>
        <w:t>Túquerres</w:t>
      </w:r>
      <w:r w:rsidR="00DB64AE" w:rsidRPr="0050757C">
        <w:t xml:space="preserve"> </w:t>
      </w:r>
      <w:r>
        <w:t>–</w:t>
      </w:r>
      <w:r w:rsidR="00DB64AE" w:rsidRPr="0050757C">
        <w:t xml:space="preserve"> </w:t>
      </w:r>
      <w:r>
        <w:t>Nariño.</w:t>
      </w:r>
    </w:p>
    <w:tbl>
      <w:tblPr>
        <w:tblStyle w:val="TableGrid"/>
        <w:tblW w:w="7371" w:type="dxa"/>
        <w:tblInd w:w="-1" w:type="dxa"/>
        <w:tblCellMar>
          <w:top w:w="51" w:type="dxa"/>
          <w:left w:w="115" w:type="dxa"/>
          <w:right w:w="8" w:type="dxa"/>
        </w:tblCellMar>
        <w:tblLook w:val="04A0" w:firstRow="1" w:lastRow="0" w:firstColumn="1" w:lastColumn="0" w:noHBand="0" w:noVBand="1"/>
      </w:tblPr>
      <w:tblGrid>
        <w:gridCol w:w="2127"/>
        <w:gridCol w:w="5244"/>
      </w:tblGrid>
      <w:tr w:rsidR="000210F7" w:rsidRPr="0050757C" w14:paraId="516FACE1"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666BA1C7" w14:textId="77777777" w:rsidR="000210F7" w:rsidRPr="0050757C" w:rsidRDefault="004F38FF">
            <w:pPr>
              <w:spacing w:after="0" w:line="259" w:lineRule="auto"/>
              <w:ind w:left="0" w:firstLine="0"/>
              <w:jc w:val="left"/>
            </w:pPr>
            <w:r w:rsidRPr="0050757C">
              <w:rPr>
                <w:b/>
                <w:sz w:val="18"/>
              </w:rPr>
              <w:t>ACCIONANTE:</w:t>
            </w:r>
          </w:p>
        </w:tc>
        <w:tc>
          <w:tcPr>
            <w:tcW w:w="5244" w:type="dxa"/>
            <w:tcBorders>
              <w:top w:val="single" w:sz="6" w:space="0" w:color="000000"/>
              <w:left w:val="single" w:sz="6" w:space="0" w:color="000000"/>
              <w:bottom w:val="single" w:sz="6" w:space="0" w:color="000000"/>
              <w:right w:val="single" w:sz="6" w:space="0" w:color="000000"/>
            </w:tcBorders>
          </w:tcPr>
          <w:p w14:paraId="4A2A3CEA" w14:textId="13AFD64A" w:rsidR="000210F7" w:rsidRPr="0050757C" w:rsidRDefault="00F375DB">
            <w:pPr>
              <w:spacing w:after="0" w:line="259" w:lineRule="auto"/>
              <w:ind w:left="0" w:firstLine="0"/>
              <w:jc w:val="left"/>
            </w:pPr>
            <w:r w:rsidRPr="00F375DB">
              <w:rPr>
                <w:sz w:val="18"/>
              </w:rPr>
              <w:t>BRAULIO ARQUIMEDES YAMPUEZAN</w:t>
            </w:r>
          </w:p>
        </w:tc>
      </w:tr>
      <w:tr w:rsidR="000210F7" w:rsidRPr="0050757C" w14:paraId="5E6AAADE" w14:textId="77777777" w:rsidTr="00DB64AE">
        <w:trPr>
          <w:trHeight w:val="381"/>
        </w:trPr>
        <w:tc>
          <w:tcPr>
            <w:tcW w:w="2127" w:type="dxa"/>
            <w:tcBorders>
              <w:top w:val="single" w:sz="6" w:space="0" w:color="000000"/>
              <w:left w:val="single" w:sz="6" w:space="0" w:color="000000"/>
              <w:bottom w:val="single" w:sz="6" w:space="0" w:color="000000"/>
              <w:right w:val="single" w:sz="6" w:space="0" w:color="000000"/>
            </w:tcBorders>
          </w:tcPr>
          <w:p w14:paraId="444825B4" w14:textId="6E403B21" w:rsidR="000210F7" w:rsidRPr="0050757C" w:rsidRDefault="004F38FF">
            <w:pPr>
              <w:spacing w:after="0" w:line="259" w:lineRule="auto"/>
              <w:ind w:left="0" w:firstLine="0"/>
              <w:jc w:val="left"/>
            </w:pPr>
            <w:r w:rsidRPr="0050757C">
              <w:rPr>
                <w:b/>
                <w:sz w:val="18"/>
              </w:rPr>
              <w:t>ACCIONAD</w:t>
            </w:r>
            <w:r w:rsidR="00F375DB">
              <w:rPr>
                <w:b/>
                <w:sz w:val="18"/>
              </w:rPr>
              <w:t>O</w:t>
            </w:r>
            <w:r w:rsidRPr="0050757C">
              <w:rPr>
                <w:b/>
                <w:sz w:val="18"/>
              </w:rPr>
              <w:t>:</w:t>
            </w:r>
          </w:p>
        </w:tc>
        <w:tc>
          <w:tcPr>
            <w:tcW w:w="5244" w:type="dxa"/>
            <w:tcBorders>
              <w:top w:val="single" w:sz="6" w:space="0" w:color="000000"/>
              <w:left w:val="single" w:sz="6" w:space="0" w:color="000000"/>
              <w:bottom w:val="single" w:sz="6" w:space="0" w:color="000000"/>
              <w:right w:val="single" w:sz="6" w:space="0" w:color="000000"/>
            </w:tcBorders>
          </w:tcPr>
          <w:p w14:paraId="1EDB4ECC" w14:textId="2E4FB0E0" w:rsidR="000210F7" w:rsidRPr="0050757C" w:rsidRDefault="00DB64AE">
            <w:pPr>
              <w:spacing w:after="0" w:line="259" w:lineRule="auto"/>
              <w:ind w:left="0" w:firstLine="0"/>
            </w:pPr>
            <w:r w:rsidRPr="0050757C">
              <w:rPr>
                <w:sz w:val="18"/>
              </w:rPr>
              <w:t>MINISTERIO DEL INTERIOR</w:t>
            </w:r>
          </w:p>
        </w:tc>
      </w:tr>
      <w:tr w:rsidR="000210F7" w:rsidRPr="0050757C" w14:paraId="5D415EE5"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3D2A00C8" w14:textId="77777777" w:rsidR="000210F7" w:rsidRPr="0050757C" w:rsidRDefault="004F38FF">
            <w:pPr>
              <w:spacing w:after="0" w:line="259" w:lineRule="auto"/>
              <w:ind w:left="0" w:firstLine="0"/>
              <w:jc w:val="left"/>
            </w:pPr>
            <w:r w:rsidRPr="0050757C">
              <w:rPr>
                <w:b/>
                <w:sz w:val="18"/>
              </w:rPr>
              <w:t>RADICADO:</w:t>
            </w:r>
          </w:p>
        </w:tc>
        <w:tc>
          <w:tcPr>
            <w:tcW w:w="5244" w:type="dxa"/>
            <w:tcBorders>
              <w:top w:val="single" w:sz="6" w:space="0" w:color="000000"/>
              <w:left w:val="single" w:sz="6" w:space="0" w:color="000000"/>
              <w:bottom w:val="single" w:sz="6" w:space="0" w:color="000000"/>
              <w:right w:val="single" w:sz="6" w:space="0" w:color="000000"/>
            </w:tcBorders>
          </w:tcPr>
          <w:p w14:paraId="0F6CD559" w14:textId="14205551" w:rsidR="000210F7" w:rsidRPr="0050757C" w:rsidRDefault="00F375DB">
            <w:pPr>
              <w:spacing w:after="0" w:line="259" w:lineRule="auto"/>
              <w:ind w:left="0" w:firstLine="0"/>
              <w:jc w:val="left"/>
            </w:pPr>
            <w:r w:rsidRPr="00F375DB">
              <w:rPr>
                <w:sz w:val="18"/>
              </w:rPr>
              <w:t>526994089001-2026-00017-00</w:t>
            </w:r>
          </w:p>
        </w:tc>
      </w:tr>
      <w:tr w:rsidR="000210F7" w:rsidRPr="0050757C" w14:paraId="741D3967"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2FE24D6F" w14:textId="77777777" w:rsidR="000210F7" w:rsidRPr="0050757C" w:rsidRDefault="004F38FF">
            <w:pPr>
              <w:spacing w:after="0" w:line="259" w:lineRule="auto"/>
              <w:ind w:left="0" w:firstLine="0"/>
              <w:jc w:val="left"/>
            </w:pPr>
            <w:r w:rsidRPr="0050757C">
              <w:rPr>
                <w:b/>
                <w:sz w:val="18"/>
              </w:rPr>
              <w:t>REFERENCIA:</w:t>
            </w:r>
          </w:p>
        </w:tc>
        <w:tc>
          <w:tcPr>
            <w:tcW w:w="5244" w:type="dxa"/>
            <w:tcBorders>
              <w:top w:val="single" w:sz="6" w:space="0" w:color="000000"/>
              <w:left w:val="single" w:sz="6" w:space="0" w:color="000000"/>
              <w:bottom w:val="single" w:sz="6" w:space="0" w:color="000000"/>
              <w:right w:val="single" w:sz="6" w:space="0" w:color="000000"/>
            </w:tcBorders>
          </w:tcPr>
          <w:p w14:paraId="17C177CA" w14:textId="77777777" w:rsidR="000210F7" w:rsidRPr="0050757C" w:rsidRDefault="004F38FF">
            <w:pPr>
              <w:spacing w:after="0" w:line="259" w:lineRule="auto"/>
              <w:ind w:left="0" w:firstLine="0"/>
              <w:jc w:val="left"/>
            </w:pPr>
            <w:r w:rsidRPr="0050757C">
              <w:rPr>
                <w:sz w:val="18"/>
              </w:rPr>
              <w:t>TUTELA</w:t>
            </w:r>
          </w:p>
        </w:tc>
      </w:tr>
      <w:tr w:rsidR="000210F7" w:rsidRPr="0050757C" w14:paraId="6DA64DE6"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20300707" w14:textId="77777777" w:rsidR="000210F7" w:rsidRPr="0050757C" w:rsidRDefault="004F38FF">
            <w:pPr>
              <w:spacing w:after="0" w:line="259" w:lineRule="auto"/>
              <w:ind w:left="0" w:firstLine="0"/>
              <w:jc w:val="left"/>
            </w:pPr>
            <w:r w:rsidRPr="0050757C">
              <w:rPr>
                <w:b/>
                <w:sz w:val="18"/>
              </w:rPr>
              <w:t>ASUNTO:</w:t>
            </w:r>
          </w:p>
        </w:tc>
        <w:tc>
          <w:tcPr>
            <w:tcW w:w="5244" w:type="dxa"/>
            <w:tcBorders>
              <w:top w:val="single" w:sz="6" w:space="0" w:color="000000"/>
              <w:left w:val="single" w:sz="6" w:space="0" w:color="000000"/>
              <w:bottom w:val="single" w:sz="6" w:space="0" w:color="000000"/>
              <w:right w:val="single" w:sz="6" w:space="0" w:color="000000"/>
            </w:tcBorders>
          </w:tcPr>
          <w:p w14:paraId="6D8A4C84" w14:textId="77777777" w:rsidR="000210F7" w:rsidRPr="0050757C" w:rsidRDefault="004F38FF">
            <w:pPr>
              <w:spacing w:after="0" w:line="259" w:lineRule="auto"/>
              <w:ind w:left="0" w:firstLine="0"/>
              <w:jc w:val="left"/>
            </w:pPr>
            <w:r w:rsidRPr="0050757C">
              <w:rPr>
                <w:sz w:val="18"/>
              </w:rPr>
              <w:t>INFORME DE CONTESTACIÓN</w:t>
            </w:r>
          </w:p>
        </w:tc>
      </w:tr>
    </w:tbl>
    <w:p w14:paraId="096680F7" w14:textId="77777777" w:rsidR="00DB64AE" w:rsidRPr="0050757C" w:rsidRDefault="00DB64AE">
      <w:pPr>
        <w:ind w:left="270"/>
      </w:pPr>
    </w:p>
    <w:p w14:paraId="20076AC4" w14:textId="40975A0D" w:rsidR="000210F7" w:rsidRPr="0050757C" w:rsidRDefault="004F38FF">
      <w:pPr>
        <w:ind w:left="270"/>
      </w:pPr>
      <w:r w:rsidRPr="0050757C">
        <w:t>Respetada Señora Juez,</w:t>
      </w:r>
    </w:p>
    <w:p w14:paraId="57979E91" w14:textId="77777777" w:rsidR="000210F7" w:rsidRPr="0050757C" w:rsidRDefault="004F38FF">
      <w:pPr>
        <w:ind w:left="270"/>
      </w:pPr>
      <w:r w:rsidRPr="0050757C">
        <w:t xml:space="preserve">El suscrito, identificado como aparece en mi antefirma, en mi condición de Director Jurídico del Ministerio del Interior, de conformidad con la Resolución No. 1289 del 02 de septiembre de 2025 </w:t>
      </w:r>
      <w:r w:rsidRPr="0050757C">
        <w:rPr>
          <w:b/>
        </w:rPr>
        <w:t>(anexo 1)</w:t>
      </w:r>
      <w:r w:rsidRPr="0050757C">
        <w:t xml:space="preserve"> y Acta de Posesión del 11 del mismo mes y año, en ejercicio de las funciones de representación judicial y extrajudicial del Ministerio de acuerdo con lo señalado en el Decreto 714 de 2024 </w:t>
      </w:r>
      <w:r w:rsidRPr="0050757C">
        <w:rPr>
          <w:b/>
        </w:rPr>
        <w:t>(Anexo 2)</w:t>
      </w:r>
      <w:r w:rsidRPr="0050757C">
        <w:t xml:space="preserve">, de manera atenta presento informe de contestación a la acción de tutela de la referencia, </w:t>
      </w:r>
      <w:r w:rsidRPr="0050757C">
        <w:rPr>
          <w:b/>
        </w:rPr>
        <w:t xml:space="preserve">conforme a la información y documentación proporcionada por el Despacho del Viceministro para el Dialogo Social y los Derechos Humanos </w:t>
      </w:r>
      <w:r w:rsidRPr="0050757C">
        <w:t>en los siguientes términos:</w:t>
      </w:r>
    </w:p>
    <w:p w14:paraId="4656EA71" w14:textId="77777777" w:rsidR="0050757C" w:rsidRPr="0050757C" w:rsidRDefault="0050757C">
      <w:pPr>
        <w:ind w:left="270"/>
      </w:pPr>
    </w:p>
    <w:p w14:paraId="6EAB17CF" w14:textId="77777777" w:rsidR="000210F7" w:rsidRPr="0050757C" w:rsidRDefault="004F38FF">
      <w:pPr>
        <w:spacing w:after="244" w:line="265" w:lineRule="auto"/>
        <w:ind w:left="2029"/>
        <w:jc w:val="left"/>
      </w:pPr>
      <w:r w:rsidRPr="0050757C">
        <w:rPr>
          <w:b/>
        </w:rPr>
        <w:t>I.HECHOS PROPUESTOS POR EL ACCIONANTE</w:t>
      </w:r>
    </w:p>
    <w:p w14:paraId="7C135712" w14:textId="77777777" w:rsidR="00F375DB" w:rsidRPr="00F375DB" w:rsidRDefault="00F375DB" w:rsidP="00F375DB">
      <w:pPr>
        <w:tabs>
          <w:tab w:val="center" w:pos="1612"/>
          <w:tab w:val="center" w:pos="5139"/>
        </w:tabs>
        <w:spacing w:after="0" w:line="265" w:lineRule="auto"/>
        <w:ind w:left="0" w:firstLine="0"/>
        <w:rPr>
          <w:i/>
          <w:iCs/>
          <w:lang w:val="es-MX"/>
        </w:rPr>
      </w:pPr>
    </w:p>
    <w:p w14:paraId="5F266A2E" w14:textId="1F86254F" w:rsidR="00F375DB" w:rsidRDefault="00F375DB" w:rsidP="00F375DB">
      <w:pPr>
        <w:tabs>
          <w:tab w:val="center" w:pos="1612"/>
          <w:tab w:val="center" w:pos="5139"/>
        </w:tabs>
        <w:spacing w:after="0" w:line="265" w:lineRule="auto"/>
        <w:ind w:left="0" w:firstLine="0"/>
        <w:rPr>
          <w:i/>
          <w:iCs/>
          <w:lang w:val="es-MX"/>
        </w:rPr>
      </w:pPr>
      <w:r w:rsidRPr="00F375DB">
        <w:rPr>
          <w:i/>
          <w:iCs/>
          <w:lang w:val="es-MX"/>
        </w:rPr>
        <w:t xml:space="preserve">PRIMERO. El Resguardo Indígena de Guachavés, ubicado en jurisdicción del municipio de Santacruz, departamento de Nariño, cuenta con un Reglamento Interno vigente, construido conforme al Derecho Propio, los usos y costumbres de la comunidad, la Constitución Política y el bloque de constitucionalidad, en el cual se regulan de manera expresa la organización del Cabildo, los procesos de </w:t>
      </w:r>
      <w:r w:rsidRPr="00F375DB">
        <w:rPr>
          <w:i/>
          <w:iCs/>
          <w:lang w:val="es-MX"/>
        </w:rPr>
        <w:lastRenderedPageBreak/>
        <w:t>elección de autoridades, las inhabilidades para ejercer cargos de gobierno propio, así como el funcionamiento de la</w:t>
      </w:r>
      <w:r>
        <w:rPr>
          <w:i/>
          <w:iCs/>
          <w:lang w:val="es-MX"/>
        </w:rPr>
        <w:t xml:space="preserve"> </w:t>
      </w:r>
      <w:r w:rsidRPr="00F375DB">
        <w:rPr>
          <w:i/>
          <w:iCs/>
          <w:lang w:val="es-MX"/>
        </w:rPr>
        <w:t>Jurisdicción Especial Indígena como instancia natural de resolución de conflictos internos.</w:t>
      </w:r>
    </w:p>
    <w:p w14:paraId="78520FDA" w14:textId="77777777" w:rsidR="00F375DB" w:rsidRPr="00F375DB" w:rsidRDefault="00F375DB" w:rsidP="00F375DB">
      <w:pPr>
        <w:tabs>
          <w:tab w:val="center" w:pos="1612"/>
          <w:tab w:val="center" w:pos="5139"/>
        </w:tabs>
        <w:spacing w:after="0" w:line="265" w:lineRule="auto"/>
        <w:ind w:left="0" w:firstLine="0"/>
        <w:rPr>
          <w:i/>
          <w:iCs/>
          <w:lang w:val="es-MX"/>
        </w:rPr>
      </w:pPr>
    </w:p>
    <w:p w14:paraId="5FC45827" w14:textId="5D83A233" w:rsidR="00F375DB" w:rsidRDefault="00F375DB" w:rsidP="00F375DB">
      <w:pPr>
        <w:tabs>
          <w:tab w:val="center" w:pos="1612"/>
          <w:tab w:val="center" w:pos="5139"/>
        </w:tabs>
        <w:spacing w:after="0" w:line="265" w:lineRule="auto"/>
        <w:ind w:left="0" w:firstLine="0"/>
        <w:rPr>
          <w:i/>
          <w:iCs/>
          <w:lang w:val="es-MX"/>
        </w:rPr>
      </w:pPr>
      <w:r w:rsidRPr="00F375DB">
        <w:rPr>
          <w:i/>
          <w:iCs/>
          <w:lang w:val="es-MX"/>
        </w:rPr>
        <w:t>SEGUNDO. En desarrollo de dicho marco normativo propio, el día 14 de diciembre de 2025 se llevó a cabo el proceso de elección de las autoridades del Cabildo del Resguardo Indígena de Guachavés para el período comprendido entre el 1 de enero y el 31 de diciembre de 2026, proceso que desde su desarrollo presentó múltiples cuestionamientos relacionados con su transparencia, legalidad y conformidad con el Reglamento Interno.</w:t>
      </w:r>
    </w:p>
    <w:p w14:paraId="1DF263FC" w14:textId="77777777" w:rsidR="008E5828" w:rsidRPr="00F375DB" w:rsidRDefault="008E5828" w:rsidP="00F375DB">
      <w:pPr>
        <w:tabs>
          <w:tab w:val="center" w:pos="1612"/>
          <w:tab w:val="center" w:pos="5139"/>
        </w:tabs>
        <w:spacing w:after="0" w:line="265" w:lineRule="auto"/>
        <w:ind w:left="0" w:firstLine="0"/>
        <w:rPr>
          <w:i/>
          <w:iCs/>
          <w:lang w:val="es-MX"/>
        </w:rPr>
      </w:pPr>
    </w:p>
    <w:p w14:paraId="0A76AA29" w14:textId="76F26BC6" w:rsidR="00F375DB" w:rsidRDefault="00F375DB" w:rsidP="00F375DB">
      <w:pPr>
        <w:tabs>
          <w:tab w:val="center" w:pos="1612"/>
          <w:tab w:val="center" w:pos="5139"/>
        </w:tabs>
        <w:spacing w:after="0" w:line="265" w:lineRule="auto"/>
        <w:ind w:left="0" w:firstLine="0"/>
        <w:rPr>
          <w:i/>
          <w:iCs/>
          <w:lang w:val="es-MX"/>
        </w:rPr>
      </w:pPr>
      <w:r w:rsidRPr="00F375DB">
        <w:rPr>
          <w:i/>
          <w:iCs/>
          <w:lang w:val="es-MX"/>
        </w:rPr>
        <w:t>TERCERO. Con anterioridad a la expedición del acto administrativo hoy cuestionado, específicamente el 22 de diciembre de 2025, se presentó ante el Ministerio del Interior una denuncia formal por irregularidades en el proceso electoral, en la cual se puso en conocimiento de dicha entidad la existencia de prácticas contrarias al Derecho Propio, entre ellas la realización de campaña política indebida, la entrega de dádivas y el suministro de transporte a votantes, conductas expresamente prohibidas por el Reglamento Interno del Resguardo.</w:t>
      </w:r>
    </w:p>
    <w:p w14:paraId="4D1D71BB" w14:textId="77777777" w:rsidR="008E5828" w:rsidRPr="00F375DB" w:rsidRDefault="008E5828" w:rsidP="00F375DB">
      <w:pPr>
        <w:tabs>
          <w:tab w:val="center" w:pos="1612"/>
          <w:tab w:val="center" w:pos="5139"/>
        </w:tabs>
        <w:spacing w:after="0" w:line="265" w:lineRule="auto"/>
        <w:ind w:left="0" w:firstLine="0"/>
        <w:rPr>
          <w:i/>
          <w:iCs/>
          <w:lang w:val="es-MX"/>
        </w:rPr>
      </w:pPr>
    </w:p>
    <w:p w14:paraId="056AA025" w14:textId="7DA0F4DD" w:rsidR="00F375DB" w:rsidRDefault="00F375DB" w:rsidP="00F375DB">
      <w:pPr>
        <w:tabs>
          <w:tab w:val="center" w:pos="1612"/>
          <w:tab w:val="center" w:pos="5139"/>
        </w:tabs>
        <w:spacing w:after="0" w:line="265" w:lineRule="auto"/>
        <w:ind w:left="0" w:firstLine="0"/>
        <w:rPr>
          <w:i/>
          <w:iCs/>
          <w:lang w:val="es-MX"/>
        </w:rPr>
      </w:pPr>
      <w:r w:rsidRPr="00F375DB">
        <w:rPr>
          <w:i/>
          <w:iCs/>
          <w:lang w:val="es-MX"/>
        </w:rPr>
        <w:t>CUARTO. De manera paralela, y en ejercicio de la autonomía jurisdiccional reconocida constitucionalmente a los pueblos indígenas, el día 1 de enero de 2026 se radicó ante la autoridad propia del Resguardo Indígena de Guachavés una solicitud de apertura de proceso en el marco de la Jurisdicción Especial Indígena, dirigida a investigar y esclarecer hechos relacionados con la conducta de la señora Sandra Leticia Cuastumal, en su calidad de persona electa como gobernadora, así como las irregularidades presentadas durante el proceso electoral, activándose de esta manera el mecanismo natural de control y decisión conforme al Derecho Propio.</w:t>
      </w:r>
    </w:p>
    <w:p w14:paraId="22DEABA3" w14:textId="77777777" w:rsidR="008E5828" w:rsidRPr="00F375DB" w:rsidRDefault="008E5828" w:rsidP="00F375DB">
      <w:pPr>
        <w:tabs>
          <w:tab w:val="center" w:pos="1612"/>
          <w:tab w:val="center" w:pos="5139"/>
        </w:tabs>
        <w:spacing w:after="0" w:line="265" w:lineRule="auto"/>
        <w:ind w:left="0" w:firstLine="0"/>
        <w:rPr>
          <w:i/>
          <w:iCs/>
          <w:lang w:val="es-MX"/>
        </w:rPr>
      </w:pPr>
    </w:p>
    <w:p w14:paraId="668E5639" w14:textId="536B4EAD" w:rsidR="00F375DB" w:rsidRDefault="00F375DB" w:rsidP="00F375DB">
      <w:pPr>
        <w:tabs>
          <w:tab w:val="center" w:pos="1612"/>
          <w:tab w:val="center" w:pos="5139"/>
        </w:tabs>
        <w:spacing w:after="0" w:line="265" w:lineRule="auto"/>
        <w:ind w:left="0" w:firstLine="0"/>
        <w:rPr>
          <w:i/>
          <w:iCs/>
          <w:lang w:val="es-MX"/>
        </w:rPr>
      </w:pPr>
      <w:r w:rsidRPr="00F375DB">
        <w:rPr>
          <w:i/>
          <w:iCs/>
          <w:lang w:val="es-MX"/>
        </w:rPr>
        <w:t>QUINTO. A la fecha de radicación de dicha solicitud, los hechos sometidos a conocimiento de la Jurisdicción Especial Indígena no habían sido resueltos de fondo, encontrándose en trámite procesos internos relacionados con posibles faltas, inhabilidades y transgresiones al Reglamento Interno que incidían directamente en la validez del proceso electoral y en la legitimidad de las autoridades resultantes.</w:t>
      </w:r>
    </w:p>
    <w:p w14:paraId="56B6211B" w14:textId="77777777" w:rsidR="008E5828" w:rsidRPr="00F375DB" w:rsidRDefault="008E5828" w:rsidP="00F375DB">
      <w:pPr>
        <w:tabs>
          <w:tab w:val="center" w:pos="1612"/>
          <w:tab w:val="center" w:pos="5139"/>
        </w:tabs>
        <w:spacing w:after="0" w:line="265" w:lineRule="auto"/>
        <w:ind w:left="0" w:firstLine="0"/>
        <w:rPr>
          <w:i/>
          <w:iCs/>
          <w:lang w:val="es-MX"/>
        </w:rPr>
      </w:pPr>
    </w:p>
    <w:p w14:paraId="523956BE" w14:textId="2420F5FB" w:rsidR="00F375DB" w:rsidRDefault="00F375DB" w:rsidP="00F375DB">
      <w:pPr>
        <w:tabs>
          <w:tab w:val="center" w:pos="1612"/>
          <w:tab w:val="center" w:pos="5139"/>
        </w:tabs>
        <w:spacing w:after="0" w:line="265" w:lineRule="auto"/>
        <w:ind w:left="0" w:firstLine="0"/>
        <w:rPr>
          <w:i/>
          <w:iCs/>
          <w:lang w:val="es-MX"/>
        </w:rPr>
      </w:pPr>
      <w:r w:rsidRPr="00F375DB">
        <w:rPr>
          <w:i/>
          <w:iCs/>
          <w:lang w:val="es-MX"/>
        </w:rPr>
        <w:t>SEXTO. No obstante la existencia de denuncias previas y de procesos jurisdiccionales indígenas en curso, el Ministerio del Interior expidió la</w:t>
      </w:r>
      <w:r>
        <w:rPr>
          <w:i/>
          <w:iCs/>
          <w:lang w:val="es-MX"/>
        </w:rPr>
        <w:t xml:space="preserve"> </w:t>
      </w:r>
      <w:r w:rsidRPr="00F375DB">
        <w:rPr>
          <w:i/>
          <w:iCs/>
          <w:lang w:val="es-MX"/>
        </w:rPr>
        <w:t xml:space="preserve">Resolución </w:t>
      </w:r>
      <w:r w:rsidRPr="00F375DB">
        <w:rPr>
          <w:i/>
          <w:iCs/>
          <w:lang w:val="es-MX"/>
        </w:rPr>
        <w:lastRenderedPageBreak/>
        <w:t>007 del 29 de enero de 2026, mediante la cual procedió a registrar como Gobernadora Principal del Resguardo Indígena de Guachavés a la señora Sandra Leticia Cuastumal Mueses, así como a los demás miembros del Cabildo, otorgando efectos administrativos a un proceso electoral cuya legalidad se encontraba controvertida y no había sido definida por la autoridad competente en el marco del Derecho Propio.</w:t>
      </w:r>
    </w:p>
    <w:p w14:paraId="1F896A9D" w14:textId="77777777" w:rsidR="008E5828" w:rsidRPr="00F375DB" w:rsidRDefault="008E5828" w:rsidP="00F375DB">
      <w:pPr>
        <w:tabs>
          <w:tab w:val="center" w:pos="1612"/>
          <w:tab w:val="center" w:pos="5139"/>
        </w:tabs>
        <w:spacing w:after="0" w:line="265" w:lineRule="auto"/>
        <w:ind w:left="0" w:firstLine="0"/>
        <w:rPr>
          <w:i/>
          <w:iCs/>
          <w:lang w:val="es-MX"/>
        </w:rPr>
      </w:pPr>
    </w:p>
    <w:p w14:paraId="7CC1A29E" w14:textId="75CBC6FF" w:rsidR="00F375DB" w:rsidRDefault="00F375DB" w:rsidP="00F375DB">
      <w:pPr>
        <w:tabs>
          <w:tab w:val="center" w:pos="1612"/>
          <w:tab w:val="center" w:pos="5139"/>
        </w:tabs>
        <w:spacing w:after="0" w:line="265" w:lineRule="auto"/>
        <w:ind w:left="0" w:firstLine="0"/>
        <w:rPr>
          <w:i/>
          <w:iCs/>
          <w:lang w:val="es-MX"/>
        </w:rPr>
      </w:pPr>
      <w:r w:rsidRPr="00F375DB">
        <w:rPr>
          <w:i/>
          <w:iCs/>
          <w:lang w:val="es-MX"/>
        </w:rPr>
        <w:t>SÉPTIMO. La expedición de la mencionada resolución se produjo sin que el Ministerio del Interior valorara de manera integral y suficiente las denuncias presentadas, ni la existencia de procesos en curso ante la Jurisdicción Especial Indígena, desconociendo de esta manera la autonomía del Resguardo, la competencia de sus autoridades jurisdiccionales y el deber de coordinación y respeto entre jurisdicciones.</w:t>
      </w:r>
    </w:p>
    <w:p w14:paraId="259E2D28" w14:textId="77777777" w:rsidR="008E5828" w:rsidRPr="00F375DB" w:rsidRDefault="008E5828" w:rsidP="00F375DB">
      <w:pPr>
        <w:tabs>
          <w:tab w:val="center" w:pos="1612"/>
          <w:tab w:val="center" w:pos="5139"/>
        </w:tabs>
        <w:spacing w:after="0" w:line="265" w:lineRule="auto"/>
        <w:ind w:left="0" w:firstLine="0"/>
        <w:rPr>
          <w:i/>
          <w:iCs/>
          <w:lang w:val="es-MX"/>
        </w:rPr>
      </w:pPr>
    </w:p>
    <w:p w14:paraId="2B88814F" w14:textId="40372F93" w:rsidR="00F375DB" w:rsidRDefault="00F375DB" w:rsidP="00F375DB">
      <w:pPr>
        <w:tabs>
          <w:tab w:val="center" w:pos="1612"/>
          <w:tab w:val="center" w:pos="5139"/>
        </w:tabs>
        <w:spacing w:after="0" w:line="265" w:lineRule="auto"/>
        <w:ind w:left="0" w:firstLine="0"/>
        <w:rPr>
          <w:i/>
          <w:iCs/>
          <w:lang w:val="es-MX"/>
        </w:rPr>
      </w:pPr>
      <w:r w:rsidRPr="00F375DB">
        <w:rPr>
          <w:i/>
          <w:iCs/>
          <w:lang w:val="es-MX"/>
        </w:rPr>
        <w:t>OCTAVO. La Resolución 007 de 2026 no fue objeto de publicación general ni de comunicación efectiva a la comunidad indígena del Resguardo de Guachavés, ni se dispuso su divulgación a través de medios institucionales accesibles, razón por la cual los comuneros y exautoridades no tuvieron conocimiento oportuno ni completo de su contenido.</w:t>
      </w:r>
    </w:p>
    <w:p w14:paraId="2028DE4A" w14:textId="77777777" w:rsidR="008E5828" w:rsidRPr="00F375DB" w:rsidRDefault="008E5828" w:rsidP="00F375DB">
      <w:pPr>
        <w:tabs>
          <w:tab w:val="center" w:pos="1612"/>
          <w:tab w:val="center" w:pos="5139"/>
        </w:tabs>
        <w:spacing w:after="0" w:line="265" w:lineRule="auto"/>
        <w:ind w:left="0" w:firstLine="0"/>
        <w:rPr>
          <w:i/>
          <w:iCs/>
          <w:lang w:val="es-MX"/>
        </w:rPr>
      </w:pPr>
    </w:p>
    <w:p w14:paraId="2ED57B8F" w14:textId="5AE48616" w:rsidR="00F375DB" w:rsidRDefault="00F375DB" w:rsidP="00F375DB">
      <w:pPr>
        <w:tabs>
          <w:tab w:val="center" w:pos="1612"/>
          <w:tab w:val="center" w:pos="5139"/>
        </w:tabs>
        <w:spacing w:after="0" w:line="265" w:lineRule="auto"/>
        <w:ind w:left="0" w:firstLine="0"/>
        <w:rPr>
          <w:i/>
          <w:iCs/>
          <w:lang w:val="es-MX"/>
        </w:rPr>
      </w:pPr>
      <w:r w:rsidRPr="00F375DB">
        <w:rPr>
          <w:i/>
          <w:iCs/>
          <w:lang w:val="es-MX"/>
        </w:rPr>
        <w:t>NOVENO. El conocimiento de la existencia y de un contenido parcial del acto administrativo por parte de la comunidad se produjo de manera informal, a través de la circulación de un pantallazo difundido por medio de la aplicación WhatsApp, en el cual se compartía un fragmento de la resolución, circunstancia que evidencia la ausencia absoluta de mecanismos formales de publicidad y comunicación por parte de la entidad accionada.</w:t>
      </w:r>
    </w:p>
    <w:p w14:paraId="0BF8E598" w14:textId="77777777" w:rsidR="008E5828" w:rsidRPr="00F375DB" w:rsidRDefault="008E5828" w:rsidP="00F375DB">
      <w:pPr>
        <w:tabs>
          <w:tab w:val="center" w:pos="1612"/>
          <w:tab w:val="center" w:pos="5139"/>
        </w:tabs>
        <w:spacing w:after="0" w:line="265" w:lineRule="auto"/>
        <w:ind w:left="0" w:firstLine="0"/>
        <w:rPr>
          <w:i/>
          <w:iCs/>
          <w:lang w:val="es-MX"/>
        </w:rPr>
      </w:pPr>
    </w:p>
    <w:p w14:paraId="4EF1D7D8" w14:textId="668CA566" w:rsidR="00F375DB" w:rsidRDefault="00F375DB" w:rsidP="00F375DB">
      <w:pPr>
        <w:tabs>
          <w:tab w:val="center" w:pos="1612"/>
          <w:tab w:val="center" w:pos="5139"/>
        </w:tabs>
        <w:spacing w:after="0" w:line="265" w:lineRule="auto"/>
        <w:ind w:left="0" w:firstLine="0"/>
        <w:rPr>
          <w:i/>
          <w:iCs/>
          <w:lang w:val="es-MX"/>
        </w:rPr>
      </w:pPr>
      <w:r w:rsidRPr="00F375DB">
        <w:rPr>
          <w:i/>
          <w:iCs/>
          <w:lang w:val="es-MX"/>
        </w:rPr>
        <w:t>DÉCIMO. Ante dicha situación, y con base en la información fragmentaria obtenida, el suscrito, en calidad de ex Gobernador del Resguardo y autoridad tradicional, procedió a interponer el día 10 de febrero de 2026 recurso de reposición y en subsidio de apelación contra la Resolución 007 de 2026, cuestionando su legalidad por la vulneración del Derecho Propio, el desconocimiento de la Jurisdicción Especial Indígena, la existencia de inhabilidades, las irregularidades electorales y la falta de publicidad del acto administrativo.</w:t>
      </w:r>
    </w:p>
    <w:p w14:paraId="3CB22833" w14:textId="77777777" w:rsidR="008E5828" w:rsidRPr="00F375DB" w:rsidRDefault="008E5828" w:rsidP="00F375DB">
      <w:pPr>
        <w:tabs>
          <w:tab w:val="center" w:pos="1612"/>
          <w:tab w:val="center" w:pos="5139"/>
        </w:tabs>
        <w:spacing w:after="0" w:line="265" w:lineRule="auto"/>
        <w:ind w:left="0" w:firstLine="0"/>
        <w:rPr>
          <w:i/>
          <w:iCs/>
          <w:lang w:val="es-MX"/>
        </w:rPr>
      </w:pPr>
    </w:p>
    <w:p w14:paraId="2EF24A78" w14:textId="77777777" w:rsidR="00F375DB" w:rsidRPr="00F375DB" w:rsidRDefault="00F375DB" w:rsidP="00F375DB">
      <w:pPr>
        <w:tabs>
          <w:tab w:val="center" w:pos="1612"/>
          <w:tab w:val="center" w:pos="5139"/>
        </w:tabs>
        <w:spacing w:after="0" w:line="265" w:lineRule="auto"/>
        <w:ind w:left="0" w:firstLine="0"/>
        <w:rPr>
          <w:i/>
          <w:iCs/>
          <w:lang w:val="es-MX"/>
        </w:rPr>
      </w:pPr>
      <w:r w:rsidRPr="00F375DB">
        <w:rPr>
          <w:i/>
          <w:iCs/>
          <w:lang w:val="es-MX"/>
        </w:rPr>
        <w:t>DÉCIMO PRIMERO. Los recursos interpuestos fueron debidamente sustentados, acompañados de pruebas documentales pertinentes y dirigidos</w:t>
      </w:r>
    </w:p>
    <w:p w14:paraId="201F9EA2" w14:textId="77777777" w:rsidR="00F375DB" w:rsidRPr="00F375DB" w:rsidRDefault="00F375DB" w:rsidP="00F375DB">
      <w:pPr>
        <w:tabs>
          <w:tab w:val="center" w:pos="1612"/>
          <w:tab w:val="center" w:pos="5139"/>
        </w:tabs>
        <w:spacing w:after="0" w:line="265" w:lineRule="auto"/>
        <w:ind w:left="0" w:firstLine="0"/>
        <w:rPr>
          <w:i/>
          <w:iCs/>
          <w:lang w:val="es-MX"/>
        </w:rPr>
      </w:pPr>
    </w:p>
    <w:p w14:paraId="781579CD" w14:textId="19BD06D2" w:rsidR="00F375DB" w:rsidRDefault="00F375DB" w:rsidP="00F375DB">
      <w:pPr>
        <w:tabs>
          <w:tab w:val="center" w:pos="1612"/>
          <w:tab w:val="center" w:pos="5139"/>
        </w:tabs>
        <w:spacing w:after="0" w:line="265" w:lineRule="auto"/>
        <w:ind w:left="0" w:firstLine="0"/>
        <w:rPr>
          <w:i/>
          <w:iCs/>
          <w:lang w:val="es-MX"/>
        </w:rPr>
      </w:pPr>
      <w:r w:rsidRPr="00F375DB">
        <w:rPr>
          <w:i/>
          <w:iCs/>
          <w:lang w:val="es-MX"/>
        </w:rPr>
        <w:t xml:space="preserve"> a que la administración revisara integralmente el acto administrativo, suspendiera sus efectos y garantizara el respeto por la autonomía indígena y el debido proceso intercultural.</w:t>
      </w:r>
    </w:p>
    <w:p w14:paraId="03BB550C" w14:textId="77777777" w:rsidR="008E5828" w:rsidRPr="00F375DB" w:rsidRDefault="008E5828" w:rsidP="00F375DB">
      <w:pPr>
        <w:tabs>
          <w:tab w:val="center" w:pos="1612"/>
          <w:tab w:val="center" w:pos="5139"/>
        </w:tabs>
        <w:spacing w:after="0" w:line="265" w:lineRule="auto"/>
        <w:ind w:left="0" w:firstLine="0"/>
        <w:rPr>
          <w:i/>
          <w:iCs/>
          <w:lang w:val="es-MX"/>
        </w:rPr>
      </w:pPr>
    </w:p>
    <w:p w14:paraId="6AEE9C37" w14:textId="44BA6E06" w:rsidR="00F375DB" w:rsidRDefault="00F375DB" w:rsidP="00F375DB">
      <w:pPr>
        <w:tabs>
          <w:tab w:val="center" w:pos="1612"/>
          <w:tab w:val="center" w:pos="5139"/>
        </w:tabs>
        <w:spacing w:after="0" w:line="265" w:lineRule="auto"/>
        <w:ind w:left="0" w:firstLine="0"/>
        <w:rPr>
          <w:i/>
          <w:iCs/>
          <w:lang w:val="es-MX"/>
        </w:rPr>
      </w:pPr>
      <w:r w:rsidRPr="00F375DB">
        <w:rPr>
          <w:i/>
          <w:iCs/>
          <w:lang w:val="es-MX"/>
        </w:rPr>
        <w:t>DÉCIMO SEGUNDO. Con posterioridad a la interposición de los recursos, la Dirección de Asuntos Indígenas, ROM y Minorías expidió la Resolución 029 de 2026, mediante la cual presuntamente resolvió el recurso de reposición y concedió el recurso subsidiario de apelación. Sin embargo, respecto de dicho acto administrativo no existe trazabilidad clara, publicidad suficiente ni constancia conocida de notificación efectiva a las autoridades tradicionales y miembros de la comunidad directamente afectados por la decisión administrativa.</w:t>
      </w:r>
    </w:p>
    <w:p w14:paraId="3F1BACA7" w14:textId="77777777" w:rsidR="008E5828" w:rsidRPr="00F375DB" w:rsidRDefault="008E5828" w:rsidP="00F375DB">
      <w:pPr>
        <w:tabs>
          <w:tab w:val="center" w:pos="1612"/>
          <w:tab w:val="center" w:pos="5139"/>
        </w:tabs>
        <w:spacing w:after="0" w:line="265" w:lineRule="auto"/>
        <w:ind w:left="0" w:firstLine="0"/>
        <w:rPr>
          <w:i/>
          <w:iCs/>
          <w:lang w:val="es-MX"/>
        </w:rPr>
      </w:pPr>
    </w:p>
    <w:p w14:paraId="5EEBD5CD" w14:textId="23BB5FA8" w:rsidR="00F375DB" w:rsidRDefault="00F375DB" w:rsidP="00F375DB">
      <w:pPr>
        <w:tabs>
          <w:tab w:val="center" w:pos="1612"/>
          <w:tab w:val="center" w:pos="5139"/>
        </w:tabs>
        <w:spacing w:after="0" w:line="265" w:lineRule="auto"/>
        <w:ind w:left="0" w:firstLine="0"/>
        <w:rPr>
          <w:i/>
          <w:iCs/>
          <w:lang w:val="es-MX"/>
        </w:rPr>
      </w:pPr>
      <w:r w:rsidRPr="00F375DB">
        <w:rPr>
          <w:i/>
          <w:iCs/>
          <w:lang w:val="es-MX"/>
        </w:rPr>
        <w:t>DÉCIMO TERCERO. Posteriormente, el Viceministerio para el Diálogo Social y los Derechos Humanos expidió la Resolución 0548 de 2026, mediante la cual resolvió el recurso de apelación y confirmó integralmente la Resolución 007 de 2026, manteniendo la inscripción de las autoridades registradas para la vigencia 2026.</w:t>
      </w:r>
    </w:p>
    <w:p w14:paraId="66517377" w14:textId="77777777" w:rsidR="008E5828" w:rsidRPr="00F375DB" w:rsidRDefault="008E5828" w:rsidP="00F375DB">
      <w:pPr>
        <w:tabs>
          <w:tab w:val="center" w:pos="1612"/>
          <w:tab w:val="center" w:pos="5139"/>
        </w:tabs>
        <w:spacing w:after="0" w:line="265" w:lineRule="auto"/>
        <w:ind w:left="0" w:firstLine="0"/>
        <w:rPr>
          <w:i/>
          <w:iCs/>
          <w:lang w:val="es-MX"/>
        </w:rPr>
      </w:pPr>
    </w:p>
    <w:p w14:paraId="18760200" w14:textId="5DC7885A" w:rsidR="00F375DB" w:rsidRDefault="00F375DB" w:rsidP="00F375DB">
      <w:pPr>
        <w:tabs>
          <w:tab w:val="center" w:pos="1612"/>
          <w:tab w:val="center" w:pos="5139"/>
        </w:tabs>
        <w:spacing w:after="0" w:line="265" w:lineRule="auto"/>
        <w:ind w:left="0" w:firstLine="0"/>
        <w:rPr>
          <w:i/>
          <w:iCs/>
          <w:lang w:val="es-MX"/>
        </w:rPr>
      </w:pPr>
      <w:r w:rsidRPr="00F375DB">
        <w:rPr>
          <w:i/>
          <w:iCs/>
          <w:lang w:val="es-MX"/>
        </w:rPr>
        <w:t>DÉCIMO CUARTO. En la Resolución 0548 de 2026, el propio Ministerio del Interior reconoce expresamente que el registro de autoridades indígenas tiene carácter declarativo y no constitutivo; que las controversias internas deben resolverse conforme al Derecho Propio; que la Jurisdicción Especial Indígena debe ser respetada; y que el Estado debe evitar intervenciones indebidas en los procesos internos de decisión de las comunidades indígenas.</w:t>
      </w:r>
    </w:p>
    <w:p w14:paraId="4AC6C2A8" w14:textId="77777777" w:rsidR="008E5828" w:rsidRPr="00F375DB" w:rsidRDefault="008E5828" w:rsidP="00F375DB">
      <w:pPr>
        <w:tabs>
          <w:tab w:val="center" w:pos="1612"/>
          <w:tab w:val="center" w:pos="5139"/>
        </w:tabs>
        <w:spacing w:after="0" w:line="265" w:lineRule="auto"/>
        <w:ind w:left="0" w:firstLine="0"/>
        <w:rPr>
          <w:i/>
          <w:iCs/>
          <w:lang w:val="es-MX"/>
        </w:rPr>
      </w:pPr>
    </w:p>
    <w:p w14:paraId="02377C64" w14:textId="46267854" w:rsidR="00F375DB" w:rsidRDefault="00F375DB" w:rsidP="00F375DB">
      <w:pPr>
        <w:tabs>
          <w:tab w:val="center" w:pos="1612"/>
          <w:tab w:val="center" w:pos="5139"/>
        </w:tabs>
        <w:spacing w:after="0" w:line="265" w:lineRule="auto"/>
        <w:ind w:left="0" w:firstLine="0"/>
        <w:rPr>
          <w:i/>
          <w:iCs/>
          <w:lang w:val="es-MX"/>
        </w:rPr>
      </w:pPr>
      <w:r w:rsidRPr="00F375DB">
        <w:rPr>
          <w:i/>
          <w:iCs/>
          <w:lang w:val="es-MX"/>
        </w:rPr>
        <w:t>No obstante, pese a reconocer dichas reglas constitucionales y jurisprudenciales, la entidad accionada decidió confirmar integralmente la Resolución 007 de 2026 y consolidar sus efectos administrativos, aun cuando persistían controversias internas relacionadas con la legalidad del proceso electoral y actuaciones en curso dentro de la Jurisdicción Especial Indígena.</w:t>
      </w:r>
    </w:p>
    <w:p w14:paraId="4CE30B6D" w14:textId="77777777" w:rsidR="008E5828" w:rsidRPr="00F375DB" w:rsidRDefault="008E5828" w:rsidP="00F375DB">
      <w:pPr>
        <w:tabs>
          <w:tab w:val="center" w:pos="1612"/>
          <w:tab w:val="center" w:pos="5139"/>
        </w:tabs>
        <w:spacing w:after="0" w:line="265" w:lineRule="auto"/>
        <w:ind w:left="0" w:firstLine="0"/>
        <w:rPr>
          <w:i/>
          <w:iCs/>
          <w:lang w:val="es-MX"/>
        </w:rPr>
      </w:pPr>
    </w:p>
    <w:p w14:paraId="25ABB942" w14:textId="77777777" w:rsidR="00F375DB" w:rsidRPr="00F375DB" w:rsidRDefault="00F375DB" w:rsidP="00F375DB">
      <w:pPr>
        <w:tabs>
          <w:tab w:val="center" w:pos="1612"/>
          <w:tab w:val="center" w:pos="5139"/>
        </w:tabs>
        <w:spacing w:after="0" w:line="265" w:lineRule="auto"/>
        <w:ind w:left="0" w:firstLine="0"/>
        <w:rPr>
          <w:i/>
          <w:iCs/>
          <w:lang w:val="es-MX"/>
        </w:rPr>
      </w:pPr>
      <w:r w:rsidRPr="00F375DB">
        <w:rPr>
          <w:i/>
          <w:iCs/>
          <w:lang w:val="es-MX"/>
        </w:rPr>
        <w:t>DÉCIMO QUINTO. Dentro de la Resolución 0548 de 2026, el Ministerio del Interior sostuvo que la Resolución 007 de 2026 había sido notificada conforme al artículo 70 del Código de Procedimiento Administrativo y de lo Contencioso Administrativo, afirmando además que el recurrente tuvo</w:t>
      </w:r>
    </w:p>
    <w:p w14:paraId="47EEE3E8" w14:textId="77777777" w:rsidR="00F375DB" w:rsidRPr="00F375DB" w:rsidRDefault="00F375DB" w:rsidP="00F375DB">
      <w:pPr>
        <w:tabs>
          <w:tab w:val="center" w:pos="1612"/>
          <w:tab w:val="center" w:pos="5139"/>
        </w:tabs>
        <w:spacing w:after="0" w:line="265" w:lineRule="auto"/>
        <w:ind w:left="0" w:firstLine="0"/>
        <w:rPr>
          <w:i/>
          <w:iCs/>
          <w:lang w:val="es-MX"/>
        </w:rPr>
      </w:pPr>
    </w:p>
    <w:p w14:paraId="32AA1E56" w14:textId="3D3A376E" w:rsidR="00F375DB" w:rsidRDefault="00F375DB" w:rsidP="00F375DB">
      <w:pPr>
        <w:tabs>
          <w:tab w:val="center" w:pos="1612"/>
          <w:tab w:val="center" w:pos="5139"/>
        </w:tabs>
        <w:spacing w:after="0" w:line="265" w:lineRule="auto"/>
        <w:ind w:left="0" w:firstLine="0"/>
        <w:rPr>
          <w:i/>
          <w:iCs/>
          <w:lang w:val="es-MX"/>
        </w:rPr>
      </w:pPr>
      <w:r w:rsidRPr="00F375DB">
        <w:rPr>
          <w:i/>
          <w:iCs/>
          <w:lang w:val="es-MX"/>
        </w:rPr>
        <w:lastRenderedPageBreak/>
        <w:t>“conocimiento efectivo” del acto administrativo por haber ejercido recursos contra el mismo.</w:t>
      </w:r>
    </w:p>
    <w:p w14:paraId="7D6D40D6" w14:textId="77777777" w:rsidR="008E5828" w:rsidRPr="00F375DB" w:rsidRDefault="008E5828" w:rsidP="00F375DB">
      <w:pPr>
        <w:tabs>
          <w:tab w:val="center" w:pos="1612"/>
          <w:tab w:val="center" w:pos="5139"/>
        </w:tabs>
        <w:spacing w:after="0" w:line="265" w:lineRule="auto"/>
        <w:ind w:left="0" w:firstLine="0"/>
        <w:rPr>
          <w:i/>
          <w:iCs/>
          <w:lang w:val="es-MX"/>
        </w:rPr>
      </w:pPr>
    </w:p>
    <w:p w14:paraId="435AA807" w14:textId="635D55B0" w:rsidR="00F375DB" w:rsidRDefault="00F375DB" w:rsidP="00F375DB">
      <w:pPr>
        <w:tabs>
          <w:tab w:val="center" w:pos="1612"/>
          <w:tab w:val="center" w:pos="5139"/>
        </w:tabs>
        <w:spacing w:after="0" w:line="265" w:lineRule="auto"/>
        <w:ind w:left="0" w:firstLine="0"/>
        <w:rPr>
          <w:i/>
          <w:iCs/>
          <w:lang w:val="es-MX"/>
        </w:rPr>
      </w:pPr>
      <w:r w:rsidRPr="00F375DB">
        <w:rPr>
          <w:i/>
          <w:iCs/>
          <w:lang w:val="es-MX"/>
        </w:rPr>
        <w:t>Sin embargo, dicha afirmación resulta contradictoria con la realidad material de las actuaciones surtidas, en tanto autoridades tradicionales del Resguardo Indígena de Guachavés, como el Gobernador Suplente MARIO FREDY ANAMA DÍAZ, declararon bajo juramento que jamás fueron notificados personal ni formalmente de la Resolución 007 de 2026, ni recibieron comunicación institucional alguna sobre su expedición, indicando que el único conocimiento parcial del acto se produjo mediante fragmentos difundidos informalmente a través de la aplicación WhatsApp.</w:t>
      </w:r>
    </w:p>
    <w:p w14:paraId="0EAD3C33" w14:textId="77777777" w:rsidR="008E5828" w:rsidRPr="00F375DB" w:rsidRDefault="008E5828" w:rsidP="00F375DB">
      <w:pPr>
        <w:tabs>
          <w:tab w:val="center" w:pos="1612"/>
          <w:tab w:val="center" w:pos="5139"/>
        </w:tabs>
        <w:spacing w:after="0" w:line="265" w:lineRule="auto"/>
        <w:ind w:left="0" w:firstLine="0"/>
        <w:rPr>
          <w:i/>
          <w:iCs/>
          <w:lang w:val="es-MX"/>
        </w:rPr>
      </w:pPr>
    </w:p>
    <w:p w14:paraId="07ECE5C5" w14:textId="26EB1C4A" w:rsidR="00F375DB" w:rsidRDefault="00F375DB" w:rsidP="00F375DB">
      <w:pPr>
        <w:tabs>
          <w:tab w:val="center" w:pos="1612"/>
          <w:tab w:val="center" w:pos="5139"/>
        </w:tabs>
        <w:spacing w:after="0" w:line="265" w:lineRule="auto"/>
        <w:ind w:left="0" w:firstLine="0"/>
        <w:rPr>
          <w:i/>
          <w:iCs/>
          <w:lang w:val="es-MX"/>
        </w:rPr>
      </w:pPr>
      <w:r w:rsidRPr="00F375DB">
        <w:rPr>
          <w:i/>
          <w:iCs/>
          <w:lang w:val="es-MX"/>
        </w:rPr>
        <w:t>DÉCIMO SEXTO. En consecuencia, la actuación del Ministerio del Interior configura una vulneración actual, continua y grave de los derechos fundamentales al debido proceso, al acceso a la información, a la publicidad de las actuaciones administrativas, a la autonomía indígena, al gobierno propio y a la Jurisdicción Especial Indígena, en tanto consolidó efectos administrativos respecto de una controversia interna no resuelta conforme al Derecho Propio, bajo actuaciones cuya publicidad, notificación y trazabilidad administrativa se encuentran seriamente cuestionadas.</w:t>
      </w:r>
    </w:p>
    <w:p w14:paraId="24A8F95C" w14:textId="77777777" w:rsidR="008E5828" w:rsidRPr="00F375DB" w:rsidRDefault="008E5828" w:rsidP="00F375DB">
      <w:pPr>
        <w:tabs>
          <w:tab w:val="center" w:pos="1612"/>
          <w:tab w:val="center" w:pos="5139"/>
        </w:tabs>
        <w:spacing w:after="0" w:line="265" w:lineRule="auto"/>
        <w:ind w:left="0" w:firstLine="0"/>
        <w:rPr>
          <w:i/>
          <w:iCs/>
          <w:lang w:val="es-MX"/>
        </w:rPr>
      </w:pPr>
    </w:p>
    <w:p w14:paraId="7F0DD909" w14:textId="26376626" w:rsidR="00DB64AE" w:rsidRDefault="00F375DB" w:rsidP="00F375DB">
      <w:pPr>
        <w:tabs>
          <w:tab w:val="center" w:pos="1612"/>
          <w:tab w:val="center" w:pos="5139"/>
        </w:tabs>
        <w:spacing w:after="0" w:line="265" w:lineRule="auto"/>
        <w:ind w:left="0" w:firstLine="0"/>
        <w:rPr>
          <w:i/>
          <w:iCs/>
          <w:lang w:val="es-MX"/>
        </w:rPr>
      </w:pPr>
      <w:r w:rsidRPr="00F375DB">
        <w:rPr>
          <w:i/>
          <w:iCs/>
          <w:lang w:val="es-MX"/>
        </w:rPr>
        <w:t>DECIMO SEPTIMO : por otra parte el ministerio del interior registro como autoridades al señor JAIRO NAITB el cual pertenece al resguardo indígena de yascual lo cual vulnera la autonomía del resguardo de Guachaves entonces como es posible que el ministerio está inmiscuyéndose en un asunto interno al registrar al señor JAIRO NATIB como parte de la autoridad del resguardo en certificado expedido por la misma entidad se evidencia que el pertenece al resguardo de yascual es indígena de este resguardo no es indígena del resguardo de Guachaves</w:t>
      </w:r>
      <w:r w:rsidR="00474B37">
        <w:rPr>
          <w:i/>
          <w:iCs/>
          <w:lang w:val="es-MX"/>
        </w:rPr>
        <w:t>.</w:t>
      </w:r>
    </w:p>
    <w:p w14:paraId="2B3652EF" w14:textId="77777777" w:rsidR="00474B37" w:rsidRPr="00474B37" w:rsidRDefault="00474B37" w:rsidP="00474B37">
      <w:pPr>
        <w:tabs>
          <w:tab w:val="center" w:pos="1612"/>
          <w:tab w:val="center" w:pos="5139"/>
        </w:tabs>
        <w:spacing w:after="0" w:line="265" w:lineRule="auto"/>
        <w:ind w:left="0" w:firstLine="0"/>
        <w:rPr>
          <w:i/>
          <w:iCs/>
          <w:lang w:val="es-MX"/>
        </w:rPr>
      </w:pPr>
    </w:p>
    <w:p w14:paraId="56CA01F0" w14:textId="5D96D8F3" w:rsidR="000210F7" w:rsidRPr="0050757C" w:rsidRDefault="004F38FF" w:rsidP="00DB64AE">
      <w:pPr>
        <w:tabs>
          <w:tab w:val="center" w:pos="1612"/>
          <w:tab w:val="center" w:pos="5139"/>
        </w:tabs>
        <w:spacing w:after="0" w:line="265" w:lineRule="auto"/>
        <w:ind w:left="0" w:firstLine="0"/>
        <w:jc w:val="left"/>
      </w:pPr>
      <w:r w:rsidRPr="0050757C">
        <w:rPr>
          <w:rFonts w:eastAsia="Calibri" w:cs="Calibri"/>
        </w:rPr>
        <w:tab/>
      </w:r>
      <w:r w:rsidRPr="0050757C">
        <w:rPr>
          <w:b/>
        </w:rPr>
        <w:t>II.</w:t>
      </w:r>
      <w:r w:rsidRPr="0050757C">
        <w:rPr>
          <w:b/>
        </w:rPr>
        <w:tab/>
        <w:t xml:space="preserve">DERECHOS FUNDAMENTALES PRESUNTAMENTE </w:t>
      </w:r>
    </w:p>
    <w:p w14:paraId="1EB92E2E" w14:textId="77777777" w:rsidR="000210F7" w:rsidRPr="0050757C" w:rsidRDefault="004F38FF">
      <w:pPr>
        <w:pStyle w:val="Ttulo1"/>
        <w:numPr>
          <w:ilvl w:val="0"/>
          <w:numId w:val="0"/>
        </w:numPr>
        <w:ind w:left="1451"/>
      </w:pPr>
      <w:r w:rsidRPr="0050757C">
        <w:t>VULNERADOS</w:t>
      </w:r>
    </w:p>
    <w:p w14:paraId="14F83CAC" w14:textId="2F8546D2" w:rsidR="00ED70F8" w:rsidRDefault="004F38FF" w:rsidP="00ED70F8">
      <w:pPr>
        <w:ind w:left="237"/>
      </w:pPr>
      <w:r w:rsidRPr="0050757C">
        <w:t xml:space="preserve">El accionante invoca la vulneración de su derecho </w:t>
      </w:r>
      <w:r w:rsidR="00ED70F8">
        <w:t>al debido proceso, autonomía y gobierno propio de los pueblos indígenas, Jurisdicción Especial</w:t>
      </w:r>
    </w:p>
    <w:p w14:paraId="412D53F5" w14:textId="72DBFF1D" w:rsidR="000210F7" w:rsidRDefault="00ED70F8" w:rsidP="00ED70F8">
      <w:pPr>
        <w:ind w:left="237"/>
      </w:pPr>
      <w:r>
        <w:lastRenderedPageBreak/>
        <w:t>Indígena, acceso a la información, publicidad de las actuaciones administrativas, participación y derecho de defensa</w:t>
      </w:r>
      <w:r w:rsidR="004F38FF" w:rsidRPr="0050757C">
        <w:t>, contemplado</w:t>
      </w:r>
      <w:r w:rsidR="00474B37">
        <w:t>s</w:t>
      </w:r>
      <w:r w:rsidR="004F38FF" w:rsidRPr="0050757C">
        <w:t xml:space="preserve"> </w:t>
      </w:r>
      <w:r>
        <w:t xml:space="preserve">en la </w:t>
      </w:r>
      <w:r w:rsidR="004F38FF" w:rsidRPr="0050757C">
        <w:t>Constitución Política de Colombia.</w:t>
      </w:r>
    </w:p>
    <w:p w14:paraId="17FD303D" w14:textId="77777777" w:rsidR="0050757C" w:rsidRPr="0050757C" w:rsidRDefault="0050757C">
      <w:pPr>
        <w:ind w:left="237"/>
      </w:pPr>
    </w:p>
    <w:p w14:paraId="02FAAF28" w14:textId="77777777" w:rsidR="000210F7" w:rsidRPr="0050757C" w:rsidRDefault="004F38FF">
      <w:pPr>
        <w:tabs>
          <w:tab w:val="center" w:pos="1272"/>
          <w:tab w:val="right" w:pos="8838"/>
        </w:tabs>
        <w:spacing w:after="244" w:line="265" w:lineRule="auto"/>
        <w:ind w:left="0" w:firstLine="0"/>
        <w:jc w:val="left"/>
      </w:pPr>
      <w:r w:rsidRPr="0050757C">
        <w:rPr>
          <w:rFonts w:eastAsia="Calibri" w:cs="Calibri"/>
        </w:rPr>
        <w:tab/>
      </w:r>
      <w:r w:rsidRPr="0050757C">
        <w:rPr>
          <w:b/>
        </w:rPr>
        <w:t>III.</w:t>
      </w:r>
      <w:r w:rsidRPr="0050757C">
        <w:rPr>
          <w:b/>
        </w:rPr>
        <w:tab/>
        <w:t>PRETENSIONES OBJETO DE AMPARO CONSTITUCIONAL</w:t>
      </w:r>
    </w:p>
    <w:p w14:paraId="661E3A24" w14:textId="0180BD49" w:rsidR="000210F7" w:rsidRPr="0050757C" w:rsidRDefault="004F38FF">
      <w:pPr>
        <w:ind w:left="118"/>
      </w:pPr>
      <w:r w:rsidRPr="0050757C">
        <w:t xml:space="preserve">De </w:t>
      </w:r>
      <w:r w:rsidR="0050757C" w:rsidRPr="0050757C">
        <w:t>acuerdo con</w:t>
      </w:r>
      <w:r w:rsidRPr="0050757C">
        <w:t xml:space="preserve"> </w:t>
      </w:r>
      <w:r w:rsidR="0050757C" w:rsidRPr="0050757C">
        <w:t>el escrito</w:t>
      </w:r>
      <w:r w:rsidRPr="0050757C">
        <w:t xml:space="preserve"> de tutela, el accionante solicita a su Honorable Despacho:</w:t>
      </w:r>
    </w:p>
    <w:p w14:paraId="3E09F181" w14:textId="77777777" w:rsidR="00ED70F8" w:rsidRPr="00ED70F8" w:rsidRDefault="00ED70F8" w:rsidP="00ED70F8">
      <w:pPr>
        <w:ind w:left="278"/>
        <w:rPr>
          <w:i/>
          <w:iCs/>
          <w:lang w:val="es-MX"/>
        </w:rPr>
      </w:pPr>
      <w:r w:rsidRPr="00ED70F8">
        <w:rPr>
          <w:i/>
          <w:iCs/>
          <w:lang w:val="es-MX"/>
        </w:rPr>
        <w:t>PRIMERA. Que se amparen los derechos fundamentales al debido proceso, autonomía y gobierno propio de los pueblos indígenas, Jurisdicción Especial</w:t>
      </w:r>
    </w:p>
    <w:p w14:paraId="1E82BBC8" w14:textId="77777777" w:rsidR="00ED70F8" w:rsidRPr="00ED70F8" w:rsidRDefault="00ED70F8" w:rsidP="00ED70F8">
      <w:pPr>
        <w:ind w:left="278"/>
        <w:rPr>
          <w:i/>
          <w:iCs/>
          <w:lang w:val="es-MX"/>
        </w:rPr>
      </w:pPr>
      <w:r w:rsidRPr="00ED70F8">
        <w:rPr>
          <w:i/>
          <w:iCs/>
          <w:lang w:val="es-MX"/>
        </w:rPr>
        <w:t xml:space="preserve"> Indígena, acceso a la información, publicidad de las actuaciones administrativas, participación y derecho de defensa, los cuales han sido vulnerados por el Ministerio del Interior con ocasión de la expedición de las Resoluciones 007 y 0548 de 2026, así como por las irregularidades relacionadas con la publicidad, comunicación y trazabilidad de las actuaciones administrativas surtidas dentro del trámite recursivo correspondiente.</w:t>
      </w:r>
    </w:p>
    <w:p w14:paraId="186AA793" w14:textId="77777777" w:rsidR="00ED70F8" w:rsidRPr="00ED70F8" w:rsidRDefault="00ED70F8" w:rsidP="00ED70F8">
      <w:pPr>
        <w:ind w:left="278"/>
        <w:rPr>
          <w:i/>
          <w:iCs/>
          <w:lang w:val="es-MX"/>
        </w:rPr>
      </w:pPr>
      <w:r w:rsidRPr="00ED70F8">
        <w:rPr>
          <w:i/>
          <w:iCs/>
          <w:lang w:val="es-MX"/>
        </w:rPr>
        <w:t>SEGUNDA. Que, como consecuencia de lo anterior, se ordene al Ministerio del Interior suspender de manera inmediata los efectos jurídicos de las Resoluciones 007 y 0548 de 2026, hasta tanto se resuelvan de fondo las controversias existentes en el marco de la Jurisdicción Especial Indígena del Resguardo Indígena de Guachavés y se garantice el respeto efectivo por el Derecho Propio, el debido proceso intercultural y la autonomía de la comunidad indígena.</w:t>
      </w:r>
    </w:p>
    <w:p w14:paraId="4EAB638E" w14:textId="77777777" w:rsidR="00ED70F8" w:rsidRPr="00ED70F8" w:rsidRDefault="00ED70F8" w:rsidP="00ED70F8">
      <w:pPr>
        <w:ind w:left="278"/>
        <w:rPr>
          <w:i/>
          <w:iCs/>
          <w:lang w:val="es-MX"/>
        </w:rPr>
      </w:pPr>
      <w:r w:rsidRPr="00ED70F8">
        <w:rPr>
          <w:i/>
          <w:iCs/>
          <w:lang w:val="es-MX"/>
        </w:rPr>
        <w:t>TERCERA. Que se ordene al Ministerio del Interior abstenerse de adoptar decisiones o actuaciones que impliquen la consolidación, ejecución, desarrollo o reconocimiento institucional derivado de las Resoluciones 007 y 0548 de 2026, mientras persistan procesos en curso ante la Jurisdicción Especial Indígena o controversias internas no resueltas conforme al Derecho Propio del Resguardo Indígena de Guachavés.</w:t>
      </w:r>
    </w:p>
    <w:p w14:paraId="20171E6C" w14:textId="77777777" w:rsidR="00ED70F8" w:rsidRPr="00ED70F8" w:rsidRDefault="00ED70F8" w:rsidP="00ED70F8">
      <w:pPr>
        <w:ind w:left="278"/>
        <w:rPr>
          <w:i/>
          <w:iCs/>
          <w:lang w:val="es-MX"/>
        </w:rPr>
      </w:pPr>
      <w:r w:rsidRPr="00ED70F8">
        <w:rPr>
          <w:i/>
          <w:iCs/>
          <w:lang w:val="es-MX"/>
        </w:rPr>
        <w:t xml:space="preserve">CUARTA. Que se ordene al Ministerio del Interior garantizar la debida publicidad y comunicación de las Resoluciones 007, 029 y 0548 de 2026 frente a la comunidad indígena del Resguardo de Guachavés, mediante mecanismos idóneos, suficientes, accesibles y culturalmente adecuados, que permitan el </w:t>
      </w:r>
      <w:r w:rsidRPr="00ED70F8">
        <w:rPr>
          <w:i/>
          <w:iCs/>
          <w:lang w:val="es-MX"/>
        </w:rPr>
        <w:lastRenderedPageBreak/>
        <w:t>acceso real y oportuno a su contenido y el ejercicio pleno de los derechos de defensa, contradicción y participación.</w:t>
      </w:r>
    </w:p>
    <w:p w14:paraId="65534AB5" w14:textId="6FB8866D" w:rsidR="00ED70F8" w:rsidRPr="00ED70F8" w:rsidRDefault="00ED70F8" w:rsidP="00ED70F8">
      <w:pPr>
        <w:ind w:left="278"/>
        <w:rPr>
          <w:i/>
          <w:iCs/>
          <w:lang w:val="es-MX"/>
        </w:rPr>
      </w:pPr>
      <w:r w:rsidRPr="00ED70F8">
        <w:rPr>
          <w:i/>
          <w:iCs/>
          <w:lang w:val="es-MX"/>
        </w:rPr>
        <w:t>QUINTA. Que se ordene al Ministerio del Interior implementar medidas administrativas orientadas a garantizar la publicidad y trazabilidad de los actos administrativos relacionados con el registro de autoridades indígenas, incluyendo su publicación en medios institucionales oficiales de acceso público, en condiciones que aseguren el conocimiento oportuno por parte de las comunidades indígenas y de los sujetos directamente interesados.</w:t>
      </w:r>
    </w:p>
    <w:p w14:paraId="4765EDF3" w14:textId="77777777" w:rsidR="00ED70F8" w:rsidRPr="00ED70F8" w:rsidRDefault="00ED70F8" w:rsidP="00ED70F8">
      <w:pPr>
        <w:ind w:left="278"/>
        <w:rPr>
          <w:i/>
          <w:iCs/>
          <w:lang w:val="es-MX"/>
        </w:rPr>
      </w:pPr>
      <w:r w:rsidRPr="00ED70F8">
        <w:rPr>
          <w:i/>
          <w:iCs/>
          <w:lang w:val="es-MX"/>
        </w:rPr>
        <w:t>SEXTA. Que se advierta al Ministerio del Interior que, en el ejercicio de sus funciones relacionadas con el registro de autoridades indígenas, deberá abstenerse de intervenir materialmente en la definición de autoridades tradicionales cuando existan controversias internas, procesos en curso ante la Jurisdicción Especial Indígena o cuestionamientos fundados sobre la legalidad de los procesos electorales, en respeto de la autonomía, el gobierno propio y el Derecho Propio de las comunidades indígenas.</w:t>
      </w:r>
    </w:p>
    <w:p w14:paraId="3C5A102D" w14:textId="2C666835" w:rsidR="0050757C" w:rsidRPr="00474B37" w:rsidRDefault="00ED70F8" w:rsidP="00ED70F8">
      <w:pPr>
        <w:ind w:left="278"/>
        <w:rPr>
          <w:i/>
          <w:iCs/>
          <w:lang w:val="es-MX"/>
        </w:rPr>
      </w:pPr>
      <w:r w:rsidRPr="00ED70F8">
        <w:rPr>
          <w:i/>
          <w:iCs/>
          <w:lang w:val="es-MX"/>
        </w:rPr>
        <w:t>SEPTIMO: ordenar al ministerio del interior dejar sin efecto los actos administrativos expedidos para el resguardo de Guachaves ya que se está registrando al señor JAIRO NATIB como parte de la autoridad sabiendo que él no pertenece al resguardo de Guachaves sino a otro resguardo como es en su caso el resguardo de YASCUAL</w:t>
      </w:r>
      <w:r w:rsidR="00474B37" w:rsidRPr="00474B37">
        <w:rPr>
          <w:i/>
          <w:iCs/>
          <w:lang w:val="es-MX"/>
        </w:rPr>
        <w:t>.</w:t>
      </w:r>
    </w:p>
    <w:p w14:paraId="6D27524C" w14:textId="77777777" w:rsidR="000210F7" w:rsidRPr="0050757C" w:rsidRDefault="004F38FF">
      <w:pPr>
        <w:pStyle w:val="Ttulo1"/>
        <w:numPr>
          <w:ilvl w:val="0"/>
          <w:numId w:val="0"/>
        </w:numPr>
        <w:ind w:left="1451" w:right="564"/>
      </w:pPr>
      <w:r w:rsidRPr="0050757C">
        <w:t>IV.RAZONES DE DEFENSA</w:t>
      </w:r>
    </w:p>
    <w:p w14:paraId="671CC8AC" w14:textId="7947E05B" w:rsidR="00ED70F8" w:rsidRDefault="004F38FF" w:rsidP="00ED70F8">
      <w:pPr>
        <w:spacing w:after="0" w:line="0" w:lineRule="atLeast"/>
        <w:ind w:left="-5"/>
      </w:pPr>
      <w:r w:rsidRPr="0050757C">
        <w:t>Una vez realizado el estudio de los hechos, derechos y pretensiones del medio de defensa constitucional, a continuación, se presentan las razones jurídicas y fácticas que facilitan la solicitud del Despacho de desvincular al Ministerio del Interior del actual trámite procesal:</w:t>
      </w:r>
    </w:p>
    <w:p w14:paraId="5576EDE8" w14:textId="77777777" w:rsidR="00ED70F8" w:rsidRDefault="00ED70F8" w:rsidP="00ED70F8">
      <w:pPr>
        <w:spacing w:after="0" w:line="0" w:lineRule="atLeast"/>
        <w:ind w:left="-5"/>
      </w:pPr>
    </w:p>
    <w:p w14:paraId="4E7C7C0A" w14:textId="77777777" w:rsidR="00590236" w:rsidRPr="0019049B" w:rsidRDefault="00590236" w:rsidP="00590236">
      <w:pPr>
        <w:pStyle w:val="Prrafodelista"/>
        <w:numPr>
          <w:ilvl w:val="1"/>
          <w:numId w:val="6"/>
        </w:numPr>
        <w:spacing w:after="0" w:line="240" w:lineRule="auto"/>
        <w:rPr>
          <w:b/>
          <w:i/>
          <w:iCs/>
          <w:shd w:val="clear" w:color="auto" w:fill="FFFFFF"/>
        </w:rPr>
      </w:pPr>
      <w:r w:rsidRPr="0019049B">
        <w:rPr>
          <w:b/>
          <w:i/>
          <w:iCs/>
          <w:shd w:val="clear" w:color="auto" w:fill="FFFFFF"/>
        </w:rPr>
        <w:t>FALTA DE LEGITIMACIÓN MATERIAL EN LA CAUSA POR PASIVA.</w:t>
      </w:r>
    </w:p>
    <w:p w14:paraId="18AF7BE1" w14:textId="77777777" w:rsidR="00590236" w:rsidRDefault="00590236" w:rsidP="00590236">
      <w:pPr>
        <w:spacing w:after="0" w:line="240" w:lineRule="auto"/>
        <w:rPr>
          <w:b/>
          <w:shd w:val="clear" w:color="auto" w:fill="FFFFFF"/>
        </w:rPr>
      </w:pPr>
      <w:r>
        <w:rPr>
          <w:b/>
          <w:shd w:val="clear" w:color="auto" w:fill="FFFFFF"/>
        </w:rPr>
        <w:t xml:space="preserve"> </w:t>
      </w:r>
    </w:p>
    <w:p w14:paraId="1F301DF6" w14:textId="77777777" w:rsidR="00590236" w:rsidRDefault="00590236" w:rsidP="00590236">
      <w:pPr>
        <w:spacing w:after="0" w:line="240" w:lineRule="auto"/>
        <w:rPr>
          <w:shd w:val="clear" w:color="auto" w:fill="FFFFFF"/>
        </w:rPr>
      </w:pPr>
    </w:p>
    <w:p w14:paraId="13FA3B30" w14:textId="77777777" w:rsidR="00590236" w:rsidRDefault="00590236" w:rsidP="00590236">
      <w:pPr>
        <w:spacing w:after="0" w:line="240" w:lineRule="auto"/>
        <w:rPr>
          <w:shd w:val="clear" w:color="auto" w:fill="FFFFFF"/>
        </w:rPr>
      </w:pPr>
      <w:r>
        <w:rPr>
          <w:shd w:val="clear" w:color="auto" w:fill="FFFFFF"/>
        </w:rPr>
        <w:t xml:space="preserve">La existencia de falta de legitimación material en la causa por pasiva, es palmaria en el sub examine por cuanto el nexo de causalidad entre la presunta vulneración de los derechos fundamentales invocados por la parte actora y la acción u omisión por parte de la Dirección de Asuntos Indígenas, Rom y Minorías, es inexistente, por lo que la presente tutela se torna improcedente en contra de </w:t>
      </w:r>
      <w:r>
        <w:rPr>
          <w:shd w:val="clear" w:color="auto" w:fill="FFFFFF"/>
        </w:rPr>
        <w:lastRenderedPageBreak/>
        <w:t xml:space="preserve">ésta, toda vez que los hechos que alega la parte actora que, presuntamente, infringen sus derechos fundamentales no emanan de esta cartera ministerial. </w:t>
      </w:r>
    </w:p>
    <w:p w14:paraId="01BD6B98" w14:textId="77777777" w:rsidR="00590236" w:rsidRDefault="00590236" w:rsidP="00590236">
      <w:pPr>
        <w:spacing w:after="0" w:line="240" w:lineRule="auto"/>
        <w:rPr>
          <w:shd w:val="clear" w:color="auto" w:fill="FFFFFF"/>
        </w:rPr>
      </w:pPr>
      <w:r>
        <w:rPr>
          <w:shd w:val="clear" w:color="auto" w:fill="FFFFFF"/>
        </w:rPr>
        <w:t xml:space="preserve"> </w:t>
      </w:r>
    </w:p>
    <w:p w14:paraId="5AD560D0" w14:textId="77777777" w:rsidR="00590236" w:rsidRDefault="00590236" w:rsidP="00590236">
      <w:pPr>
        <w:spacing w:after="0" w:line="240" w:lineRule="auto"/>
      </w:pPr>
      <w:r>
        <w:t xml:space="preserve">Es pertinente precisar que el derecho a la autonomía se considera como la capacidad de una comunidad indígena de poder determinar de manera libre y consciente la forma de organizar y dirigir los asuntos propios conforme a sus tradiciones, derecho propio y relaciones con el territorio.  En este ámbito, la autonomía se refiere a la capacidad de autogobernarse, lo cual, tiene como características principales el manejo y control del territorio, el gobierno propio y la identidad cultural.  De esta manera señala la </w:t>
      </w:r>
      <w:r>
        <w:rPr>
          <w:b/>
        </w:rPr>
        <w:t>Declaración de las Naciones Unidas sobre los Derechos de los Pueblos Indígenas</w:t>
      </w:r>
      <w:r>
        <w:t>:</w:t>
      </w:r>
    </w:p>
    <w:p w14:paraId="46EFE70D" w14:textId="77777777" w:rsidR="00590236" w:rsidRDefault="00590236" w:rsidP="00590236">
      <w:pPr>
        <w:spacing w:after="0" w:line="240" w:lineRule="auto"/>
      </w:pPr>
      <w:r>
        <w:t xml:space="preserve"> </w:t>
      </w:r>
    </w:p>
    <w:p w14:paraId="7C7FC63F" w14:textId="77777777" w:rsidR="00590236" w:rsidRPr="0026233A" w:rsidRDefault="00590236" w:rsidP="00590236">
      <w:pPr>
        <w:spacing w:after="0" w:line="240" w:lineRule="auto"/>
        <w:ind w:left="567"/>
        <w:rPr>
          <w:sz w:val="20"/>
        </w:rPr>
      </w:pPr>
      <w:r w:rsidRPr="0026233A">
        <w:rPr>
          <w:i/>
          <w:sz w:val="20"/>
        </w:rPr>
        <w:t xml:space="preserve">“(…) </w:t>
      </w:r>
      <w:r w:rsidRPr="0026233A">
        <w:rPr>
          <w:b/>
          <w:i/>
          <w:sz w:val="20"/>
        </w:rPr>
        <w:t>Artículo 4</w:t>
      </w:r>
      <w:r w:rsidRPr="0026233A">
        <w:rPr>
          <w:i/>
          <w:sz w:val="20"/>
        </w:rPr>
        <w:t>. Los pueblos indígenas, en ejercicio de su derecho a la libre determinación, tienen derecho a la autonomía o al autogobierno en las cuestiones relacionadas con sus asuntos internos y locales, así como va disponer de medios para financiar sus funciones autónomas. (…)”</w:t>
      </w:r>
      <w:hyperlink w:anchor="_edn1" w:history="1">
        <w:r w:rsidRPr="0026233A">
          <w:rPr>
            <w:rStyle w:val="Hipervnculo"/>
            <w:b/>
            <w:i/>
            <w:sz w:val="20"/>
          </w:rPr>
          <w:t>[i]</w:t>
        </w:r>
      </w:hyperlink>
    </w:p>
    <w:p w14:paraId="4CE547A3" w14:textId="77777777" w:rsidR="00590236" w:rsidRDefault="00590236" w:rsidP="00590236">
      <w:pPr>
        <w:spacing w:after="0" w:line="240" w:lineRule="auto"/>
      </w:pPr>
      <w:r>
        <w:t xml:space="preserve"> </w:t>
      </w:r>
    </w:p>
    <w:p w14:paraId="12FA0FA9" w14:textId="77777777" w:rsidR="00590236" w:rsidRDefault="00590236" w:rsidP="00590236">
      <w:pPr>
        <w:spacing w:after="0" w:line="240" w:lineRule="auto"/>
      </w:pPr>
      <w:r>
        <w:t xml:space="preserve">En este sentido, el Convenio 169 de la OIT mediante el artículo 7, establece el derecho de los pueblos indígenas a decidir sus propias prioridades en lo que atañe al desarrollo, en la medida en que éste afecte sus vidas, creencias, instituciones, bienestar espiritual y a las tierras que ocupan de alguna manera, y de controlar, en la medida de lo posible, su propio desarrollo económico, social y cultural. A lo que se suma la Declaración con lo siguiente:  </w:t>
      </w:r>
    </w:p>
    <w:p w14:paraId="1E3778E6" w14:textId="77777777" w:rsidR="00590236" w:rsidRDefault="00590236" w:rsidP="00590236">
      <w:pPr>
        <w:spacing w:after="0" w:line="240" w:lineRule="auto"/>
      </w:pPr>
      <w:r>
        <w:t xml:space="preserve"> </w:t>
      </w:r>
    </w:p>
    <w:p w14:paraId="5125D35D" w14:textId="77777777" w:rsidR="00590236" w:rsidRPr="0026233A" w:rsidRDefault="00590236" w:rsidP="00590236">
      <w:pPr>
        <w:spacing w:after="0" w:line="240" w:lineRule="auto"/>
        <w:ind w:left="567" w:hanging="284"/>
        <w:rPr>
          <w:sz w:val="20"/>
        </w:rPr>
      </w:pPr>
      <w:r>
        <w:rPr>
          <w:i/>
        </w:rPr>
        <w:tab/>
        <w:t xml:space="preserve"> </w:t>
      </w:r>
      <w:r w:rsidRPr="0026233A">
        <w:rPr>
          <w:i/>
          <w:sz w:val="20"/>
        </w:rPr>
        <w:t>“(…) Artículo 23. Los pueblos indígenas tienen derecho a determinar y a elaborar prioridades y estrategias para el ejercicio de su derecho al desarrollo. En particular, los pueblos indígenas tienen derecho a participar activamente en la elaboración y determinación de los programas de salud, vivienda y demás programas económicos y sociales que les conciernan y, en lo posible, a administrar esos programas mediante sus propias instituciones. (…)”</w:t>
      </w:r>
      <w:hyperlink w:anchor="_edn2" w:history="1">
        <w:r w:rsidRPr="0026233A">
          <w:rPr>
            <w:rStyle w:val="Hipervnculo"/>
            <w:b/>
            <w:i/>
            <w:sz w:val="20"/>
          </w:rPr>
          <w:t>[</w:t>
        </w:r>
        <w:proofErr w:type="spellStart"/>
        <w:r w:rsidRPr="0026233A">
          <w:rPr>
            <w:rStyle w:val="Hipervnculo"/>
            <w:b/>
            <w:i/>
            <w:sz w:val="20"/>
          </w:rPr>
          <w:t>ii</w:t>
        </w:r>
        <w:proofErr w:type="spellEnd"/>
        <w:r w:rsidRPr="0026233A">
          <w:rPr>
            <w:rStyle w:val="Hipervnculo"/>
            <w:b/>
            <w:i/>
            <w:sz w:val="20"/>
          </w:rPr>
          <w:t>]</w:t>
        </w:r>
      </w:hyperlink>
    </w:p>
    <w:p w14:paraId="332A7F63" w14:textId="77777777" w:rsidR="00590236" w:rsidRPr="0026233A" w:rsidRDefault="00590236" w:rsidP="00590236">
      <w:pPr>
        <w:spacing w:after="0" w:line="240" w:lineRule="auto"/>
        <w:rPr>
          <w:sz w:val="20"/>
        </w:rPr>
      </w:pPr>
      <w:r w:rsidRPr="0026233A">
        <w:rPr>
          <w:sz w:val="20"/>
        </w:rPr>
        <w:t xml:space="preserve"> </w:t>
      </w:r>
    </w:p>
    <w:p w14:paraId="0065C253" w14:textId="77777777" w:rsidR="00590236" w:rsidRDefault="00590236" w:rsidP="00590236">
      <w:pPr>
        <w:spacing w:after="0" w:line="240" w:lineRule="auto"/>
      </w:pPr>
      <w:r>
        <w:t xml:space="preserve">Así las cosas, es importante señalar que, la autonomía, en tanto derecho fundamental, no reside en las autoridades indígenas como tal (cabildos, capitanes, consejos mayores, etc.), sino que reside en la comunidad, en cuanto titular de los derechos colectivos que gozan los pueblos indígenas dentro del orden constitucional del Estado Colombiano. </w:t>
      </w:r>
    </w:p>
    <w:p w14:paraId="5ADC96F5" w14:textId="77777777" w:rsidR="00590236" w:rsidRDefault="00590236" w:rsidP="00590236">
      <w:pPr>
        <w:spacing w:after="0" w:line="240" w:lineRule="auto"/>
      </w:pPr>
      <w:r>
        <w:t xml:space="preserve"> </w:t>
      </w:r>
    </w:p>
    <w:p w14:paraId="5B9826AC" w14:textId="77777777" w:rsidR="00590236" w:rsidRDefault="00590236" w:rsidP="00590236">
      <w:pPr>
        <w:spacing w:after="0" w:line="240" w:lineRule="auto"/>
      </w:pPr>
      <w:r>
        <w:t xml:space="preserve">El derecho a la autonomía se considera como la capacidad de una comunidad indígena de poder determinar de manera libre y consciente la forma de organizar y dirigir los asuntos propios conforme a sus tradiciones, derecho propio y relaciones con el territorio. </w:t>
      </w:r>
    </w:p>
    <w:p w14:paraId="77106B66" w14:textId="77777777" w:rsidR="00590236" w:rsidRDefault="00590236" w:rsidP="00590236">
      <w:pPr>
        <w:spacing w:after="0" w:line="240" w:lineRule="auto"/>
      </w:pPr>
      <w:r>
        <w:t xml:space="preserve"> </w:t>
      </w:r>
    </w:p>
    <w:p w14:paraId="4BF51CDE" w14:textId="77777777" w:rsidR="00590236" w:rsidRDefault="00590236" w:rsidP="00590236">
      <w:pPr>
        <w:spacing w:after="0" w:line="240" w:lineRule="auto"/>
      </w:pPr>
      <w:r>
        <w:lastRenderedPageBreak/>
        <w:t xml:space="preserve">Adicionalmente, en el Convenio 169 de la OIT, sobre los pueblos indígenas, a través del Artículo 16, hace alusión así: </w:t>
      </w:r>
    </w:p>
    <w:p w14:paraId="15615162" w14:textId="77777777" w:rsidR="00590236" w:rsidRDefault="00590236" w:rsidP="00590236">
      <w:pPr>
        <w:spacing w:after="0" w:line="240" w:lineRule="auto"/>
      </w:pPr>
      <w:r>
        <w:t xml:space="preserve"> </w:t>
      </w:r>
    </w:p>
    <w:p w14:paraId="517BE32F" w14:textId="77777777" w:rsidR="00590236" w:rsidRPr="0026233A" w:rsidRDefault="00590236" w:rsidP="00590236">
      <w:pPr>
        <w:spacing w:after="0" w:line="240" w:lineRule="auto"/>
        <w:rPr>
          <w:i/>
          <w:sz w:val="20"/>
        </w:rPr>
      </w:pPr>
      <w:r w:rsidRPr="0026233A">
        <w:rPr>
          <w:i/>
          <w:sz w:val="20"/>
        </w:rPr>
        <w:t>“(…)</w:t>
      </w:r>
    </w:p>
    <w:p w14:paraId="18C75FF6" w14:textId="77777777" w:rsidR="00590236" w:rsidRPr="0026233A" w:rsidRDefault="00590236" w:rsidP="00590236">
      <w:pPr>
        <w:spacing w:after="0" w:line="240" w:lineRule="auto"/>
        <w:ind w:left="567"/>
        <w:rPr>
          <w:i/>
          <w:sz w:val="20"/>
        </w:rPr>
      </w:pPr>
      <w:hyperlink w:history="1"/>
      <w:r w:rsidRPr="0026233A">
        <w:rPr>
          <w:i/>
          <w:sz w:val="20"/>
        </w:rPr>
        <w:t>1. A reserva de lo dispuesto en los párrafos siguientes de este artículo, los pueblos interesados no deberán ser trasladados de las tierras que ocupan.</w:t>
      </w:r>
    </w:p>
    <w:p w14:paraId="33B92AB2" w14:textId="77777777" w:rsidR="00590236" w:rsidRPr="0026233A" w:rsidRDefault="00590236" w:rsidP="00590236">
      <w:pPr>
        <w:spacing w:after="0" w:line="240" w:lineRule="auto"/>
        <w:ind w:left="567"/>
        <w:rPr>
          <w:i/>
          <w:sz w:val="20"/>
        </w:rPr>
      </w:pPr>
      <w:hyperlink w:history="1"/>
      <w:r w:rsidRPr="0026233A">
        <w:rPr>
          <w:i/>
          <w:sz w:val="20"/>
        </w:rPr>
        <w:t>2. Cuando excepcionalmente el traslado y la reubicación de esos pueblos se consideren necesarios, sólo deberán efectuarse con su consentimiento, dado libremente y con pleno conocimiento de causa. Cuando no pueda obtenerse su consentimiento, el traslado y la reubicación sólo deberá tener lugar al término de procedimientos adecuados establecidos por la legislación nacional, incluidas encuestas públicas, cuando haya lugar, en que los pueblos interesados tengan la posibilidad de estar efectivamente representados.</w:t>
      </w:r>
    </w:p>
    <w:p w14:paraId="61A7CFB2" w14:textId="77777777" w:rsidR="00590236" w:rsidRPr="0026233A" w:rsidRDefault="00590236" w:rsidP="00590236">
      <w:pPr>
        <w:spacing w:after="0" w:line="240" w:lineRule="auto"/>
        <w:ind w:left="567"/>
        <w:rPr>
          <w:i/>
          <w:sz w:val="20"/>
        </w:rPr>
      </w:pPr>
      <w:hyperlink w:history="1"/>
      <w:r w:rsidRPr="0026233A">
        <w:rPr>
          <w:i/>
          <w:sz w:val="20"/>
        </w:rPr>
        <w:t>3. Siempre que sea posible, estos pueblos deberán tener el derecho de regresar a sus tierras tradicionales en cuanto dejen de existir las causas que motivaron su traslado y reubicación.</w:t>
      </w:r>
    </w:p>
    <w:p w14:paraId="7DD7C21E" w14:textId="77777777" w:rsidR="00590236" w:rsidRPr="0026233A" w:rsidRDefault="00590236" w:rsidP="00590236">
      <w:pPr>
        <w:spacing w:after="0" w:line="240" w:lineRule="auto"/>
        <w:ind w:left="567"/>
        <w:rPr>
          <w:i/>
          <w:sz w:val="20"/>
        </w:rPr>
      </w:pPr>
      <w:hyperlink w:history="1"/>
      <w:r w:rsidRPr="0026233A">
        <w:rPr>
          <w:i/>
          <w:sz w:val="20"/>
        </w:rPr>
        <w:t>4. Cuando el retorno no sea posible, tal como se determine por acuerdo o, en ausencia de tales acuerdos, por medio de procedimientos adecuados, dichos pueblos deberán recibir, en todos los casos posibles, tierras cuya calidad y cuyo estatuto jurídico sean por lo menos iguales a los de las tierras que ocupaban anteriormente, y que les permitan subvenir a sus necesidades y garantizar su desarrollo futuro. Cuando los pueblos interesados prefieran recibir una indemnización en dinero o en especie, deberá concedérseles dicha indemnización, con las garantías apropiadas.</w:t>
      </w:r>
    </w:p>
    <w:p w14:paraId="593EECA9" w14:textId="77777777" w:rsidR="00590236" w:rsidRPr="0026233A" w:rsidRDefault="00590236" w:rsidP="00590236">
      <w:pPr>
        <w:spacing w:after="0" w:line="240" w:lineRule="auto"/>
        <w:ind w:left="567"/>
        <w:rPr>
          <w:sz w:val="20"/>
        </w:rPr>
      </w:pPr>
      <w:hyperlink w:history="1"/>
      <w:r w:rsidRPr="0026233A">
        <w:rPr>
          <w:i/>
          <w:sz w:val="20"/>
        </w:rPr>
        <w:t>5. Deberá indemnizarse plenamente a las personas trasladadas y reubicadas por cualquier pérdida o daño que hayan sufrido como consecuencia de su desplazamiento”.</w:t>
      </w:r>
      <w:hyperlink w:anchor="_edn3" w:history="1">
        <w:r w:rsidRPr="0026233A">
          <w:rPr>
            <w:rStyle w:val="Hipervnculo"/>
            <w:b/>
            <w:i/>
            <w:sz w:val="20"/>
          </w:rPr>
          <w:t>[</w:t>
        </w:r>
        <w:proofErr w:type="spellStart"/>
        <w:r w:rsidRPr="0026233A">
          <w:rPr>
            <w:rStyle w:val="Hipervnculo"/>
            <w:b/>
            <w:i/>
            <w:sz w:val="20"/>
          </w:rPr>
          <w:t>iii</w:t>
        </w:r>
        <w:proofErr w:type="spellEnd"/>
        <w:r w:rsidRPr="0026233A">
          <w:rPr>
            <w:rStyle w:val="Hipervnculo"/>
            <w:b/>
            <w:i/>
            <w:sz w:val="20"/>
          </w:rPr>
          <w:t>]</w:t>
        </w:r>
      </w:hyperlink>
    </w:p>
    <w:p w14:paraId="5E0A01A9" w14:textId="77777777" w:rsidR="00590236" w:rsidRDefault="00590236" w:rsidP="00590236">
      <w:pPr>
        <w:spacing w:after="0" w:line="240" w:lineRule="auto"/>
        <w:ind w:left="567"/>
        <w:rPr>
          <w:i/>
        </w:rPr>
      </w:pPr>
      <w:r>
        <w:rPr>
          <w:i/>
        </w:rPr>
        <w:t xml:space="preserve"> </w:t>
      </w:r>
    </w:p>
    <w:p w14:paraId="40EE8A4F" w14:textId="77777777" w:rsidR="00590236" w:rsidRDefault="00590236" w:rsidP="00590236">
      <w:pPr>
        <w:spacing w:after="0" w:line="240" w:lineRule="auto"/>
        <w:rPr>
          <w:shd w:val="clear" w:color="auto" w:fill="FFFFFF"/>
        </w:rPr>
      </w:pPr>
      <w:r>
        <w:t xml:space="preserve">Ahora bien, la Corte Constitucional en la Sentencia </w:t>
      </w:r>
      <w:r>
        <w:rPr>
          <w:shd w:val="clear" w:color="auto" w:fill="FFFFFF"/>
        </w:rPr>
        <w:t xml:space="preserve">T-188/15 hace alusión a la autonomía, señalando:  </w:t>
      </w:r>
    </w:p>
    <w:p w14:paraId="1A3CD158" w14:textId="77777777" w:rsidR="00590236" w:rsidRDefault="00590236" w:rsidP="00590236">
      <w:pPr>
        <w:spacing w:after="0" w:line="240" w:lineRule="auto"/>
        <w:rPr>
          <w:shd w:val="clear" w:color="auto" w:fill="FFFFFF"/>
        </w:rPr>
      </w:pPr>
      <w:r>
        <w:rPr>
          <w:shd w:val="clear" w:color="auto" w:fill="FFFFFF"/>
        </w:rPr>
        <w:t xml:space="preserve"> </w:t>
      </w:r>
    </w:p>
    <w:p w14:paraId="2A37CBE0" w14:textId="77777777" w:rsidR="00590236" w:rsidRPr="0026233A" w:rsidRDefault="00590236" w:rsidP="00590236">
      <w:pPr>
        <w:spacing w:after="0" w:line="240" w:lineRule="auto"/>
        <w:ind w:left="567"/>
        <w:rPr>
          <w:sz w:val="20"/>
        </w:rPr>
      </w:pPr>
      <w:r w:rsidRPr="0026233A">
        <w:rPr>
          <w:i/>
          <w:sz w:val="20"/>
        </w:rPr>
        <w:t>“(…) la autonomía de las comunidades indígenas implica que ellas tienen la facultad para darse su propia organización social, económica y política, de manera que se constituye en un “derecho que tienen tales pueblos a decidir por sí mismos los asuntos y aspiraciones propias de su comunidad, en los ámbitos material, cultural, espiritual, político y jurídico, de acuerdo con sus referentes propios y conforme con los límites que señalen la Constitución y la ley”. En materia política, esa autonomía implica que los pueblos indígenas y tribales tienen la competencia para establecer unas instituciones propias y gestionar sus asuntos internos, todo de acuerdo con la Constitución, las leyes y según los usos y costumbres de sus comunidades. (…)”</w:t>
      </w:r>
      <w:hyperlink w:anchor="_edn4" w:history="1">
        <w:r w:rsidRPr="0026233A">
          <w:rPr>
            <w:rStyle w:val="Hipervnculo"/>
            <w:b/>
            <w:i/>
            <w:sz w:val="20"/>
          </w:rPr>
          <w:t>[</w:t>
        </w:r>
        <w:proofErr w:type="spellStart"/>
        <w:r w:rsidRPr="0026233A">
          <w:rPr>
            <w:rStyle w:val="Hipervnculo"/>
            <w:b/>
            <w:i/>
            <w:sz w:val="20"/>
          </w:rPr>
          <w:t>iv</w:t>
        </w:r>
        <w:proofErr w:type="spellEnd"/>
        <w:r w:rsidRPr="0026233A">
          <w:rPr>
            <w:rStyle w:val="Hipervnculo"/>
            <w:b/>
            <w:i/>
            <w:sz w:val="20"/>
          </w:rPr>
          <w:t>]</w:t>
        </w:r>
      </w:hyperlink>
    </w:p>
    <w:p w14:paraId="39951EFA" w14:textId="77777777" w:rsidR="00590236" w:rsidRDefault="00590236" w:rsidP="00590236">
      <w:pPr>
        <w:spacing w:after="0" w:line="240" w:lineRule="auto"/>
        <w:ind w:left="567"/>
        <w:rPr>
          <w:i/>
        </w:rPr>
      </w:pPr>
      <w:r>
        <w:rPr>
          <w:i/>
        </w:rPr>
        <w:t xml:space="preserve"> </w:t>
      </w:r>
    </w:p>
    <w:p w14:paraId="28D2250E" w14:textId="77777777" w:rsidR="00590236" w:rsidRDefault="00590236" w:rsidP="00590236">
      <w:pPr>
        <w:spacing w:after="0" w:line="240" w:lineRule="auto"/>
        <w:rPr>
          <w:i/>
        </w:rPr>
      </w:pPr>
      <w:r>
        <w:rPr>
          <w:i/>
        </w:rPr>
        <w:t xml:space="preserve">Por otra parte, esta corporación constata que la autonomía y el autogobierno han sido objeto de un amplio desarrollo en la jurisprudencia </w:t>
      </w:r>
      <w:proofErr w:type="spellStart"/>
      <w:r>
        <w:rPr>
          <w:i/>
        </w:rPr>
        <w:lastRenderedPageBreak/>
        <w:t>constitucionalprecisamente</w:t>
      </w:r>
      <w:proofErr w:type="spellEnd"/>
      <w:r>
        <w:rPr>
          <w:i/>
        </w:rPr>
        <w:t xml:space="preserve"> se precisa en la Sentencia T-693 de 2011, la cual expuso lo siguiente:</w:t>
      </w:r>
    </w:p>
    <w:p w14:paraId="20E44176" w14:textId="77777777" w:rsidR="00590236" w:rsidRPr="0026233A" w:rsidRDefault="00590236" w:rsidP="00590236">
      <w:pPr>
        <w:spacing w:after="0" w:line="240" w:lineRule="auto"/>
        <w:rPr>
          <w:i/>
          <w:sz w:val="20"/>
        </w:rPr>
      </w:pPr>
      <w:r>
        <w:rPr>
          <w:i/>
        </w:rPr>
        <w:t xml:space="preserve"> </w:t>
      </w:r>
    </w:p>
    <w:p w14:paraId="6FB00842" w14:textId="77777777" w:rsidR="00590236" w:rsidRPr="0026233A" w:rsidRDefault="00590236" w:rsidP="00590236">
      <w:pPr>
        <w:spacing w:after="0" w:line="240" w:lineRule="auto"/>
        <w:ind w:left="567"/>
        <w:rPr>
          <w:sz w:val="20"/>
        </w:rPr>
      </w:pPr>
      <w:r w:rsidRPr="0026233A">
        <w:rPr>
          <w:i/>
          <w:sz w:val="20"/>
        </w:rPr>
        <w:t>“(…) Un tercer ámbito está relacionado con las formas de autogobierno y de autodeterminación de las reglas jurídicas al interior de los pueblos indígenas. Ello supone el derecho de las comunidades, (i) a decidir su forma de gobierno (CP art. 330); (</w:t>
      </w:r>
      <w:proofErr w:type="spellStart"/>
      <w:r w:rsidRPr="0026233A">
        <w:rPr>
          <w:i/>
          <w:sz w:val="20"/>
        </w:rPr>
        <w:t>ii</w:t>
      </w:r>
      <w:proofErr w:type="spellEnd"/>
      <w:r w:rsidRPr="0026233A">
        <w:rPr>
          <w:i/>
          <w:sz w:val="20"/>
        </w:rPr>
        <w:t>) el derecho a ejercer funciones jurisdiccionales dentro de su ámbito territorial (C.P. art. 246) y (</w:t>
      </w:r>
      <w:proofErr w:type="spellStart"/>
      <w:r w:rsidRPr="0026233A">
        <w:rPr>
          <w:i/>
          <w:sz w:val="20"/>
        </w:rPr>
        <w:t>iii</w:t>
      </w:r>
      <w:proofErr w:type="spellEnd"/>
      <w:r w:rsidRPr="0026233A">
        <w:rPr>
          <w:i/>
          <w:sz w:val="20"/>
        </w:rPr>
        <w:t>) el pleno ejercicio del derecho de propiedad de sus resguardos y territorios, con los límites que señale la Constitución y la ley. La autonomía política y jurídica, relacionada de este modo con una autogestión territorial, actúa así como un instrumento de reafirmación de la identidad de las comunidades indígenas, las cuales, mediante el ejercicio de sus prácticas tradicionales, avanzan en el fortalecimiento de sus autoridades internas y en el auto-reconocimiento de sus espacios de expresión colectiva (…)”.</w:t>
      </w:r>
      <w:hyperlink w:anchor="_edn5" w:history="1">
        <w:r w:rsidRPr="0026233A">
          <w:rPr>
            <w:rStyle w:val="Hipervnculo"/>
            <w:b/>
            <w:i/>
            <w:sz w:val="20"/>
          </w:rPr>
          <w:t>[v]</w:t>
        </w:r>
      </w:hyperlink>
    </w:p>
    <w:p w14:paraId="4F39B540" w14:textId="77777777" w:rsidR="00590236" w:rsidRPr="0026233A" w:rsidRDefault="00590236" w:rsidP="00590236">
      <w:pPr>
        <w:spacing w:after="0" w:line="240" w:lineRule="auto"/>
        <w:ind w:left="737"/>
        <w:rPr>
          <w:i/>
          <w:sz w:val="20"/>
        </w:rPr>
      </w:pPr>
      <w:r w:rsidRPr="0026233A">
        <w:rPr>
          <w:i/>
          <w:sz w:val="20"/>
        </w:rPr>
        <w:t xml:space="preserve"> </w:t>
      </w:r>
    </w:p>
    <w:p w14:paraId="73EB3A07" w14:textId="77777777" w:rsidR="00590236" w:rsidRDefault="00590236" w:rsidP="00590236">
      <w:pPr>
        <w:spacing w:after="0" w:line="240" w:lineRule="auto"/>
        <w:rPr>
          <w:shd w:val="clear" w:color="auto" w:fill="FFFFFF"/>
        </w:rPr>
      </w:pPr>
    </w:p>
    <w:p w14:paraId="221E2052" w14:textId="77777777" w:rsidR="00590236" w:rsidRDefault="00590236" w:rsidP="00590236">
      <w:pPr>
        <w:spacing w:after="0" w:line="240" w:lineRule="auto"/>
        <w:rPr>
          <w:shd w:val="clear" w:color="auto" w:fill="FFFFFF"/>
        </w:rPr>
      </w:pPr>
      <w:r>
        <w:rPr>
          <w:shd w:val="clear" w:color="auto" w:fill="FFFFFF"/>
        </w:rPr>
        <w:t>Dicho lo anterior, se tiene que la Corte Constitucional en la sentencia T-010 de 2023, M.P. Paola Andrea Meneses Mosquera, con relación a la institución procesal de “falta de legitimación por pasiva”, preciso lo siguiente:</w:t>
      </w:r>
    </w:p>
    <w:p w14:paraId="78CAB457" w14:textId="77777777" w:rsidR="00590236" w:rsidRDefault="00590236" w:rsidP="00590236">
      <w:pPr>
        <w:spacing w:after="0" w:line="240" w:lineRule="auto"/>
        <w:rPr>
          <w:shd w:val="clear" w:color="auto" w:fill="FFFFFF"/>
        </w:rPr>
      </w:pPr>
      <w:r>
        <w:rPr>
          <w:shd w:val="clear" w:color="auto" w:fill="FFFFFF"/>
        </w:rPr>
        <w:t xml:space="preserve"> </w:t>
      </w:r>
    </w:p>
    <w:p w14:paraId="1375638C" w14:textId="77777777" w:rsidR="00590236" w:rsidRPr="0026233A" w:rsidRDefault="00590236" w:rsidP="00590236">
      <w:pPr>
        <w:spacing w:after="0" w:line="240" w:lineRule="auto"/>
        <w:ind w:left="567"/>
        <w:rPr>
          <w:sz w:val="20"/>
        </w:rPr>
      </w:pPr>
      <w:r w:rsidRPr="0026233A">
        <w:rPr>
          <w:sz w:val="20"/>
          <w:shd w:val="clear" w:color="auto" w:fill="FFFFFF"/>
        </w:rPr>
        <w:t xml:space="preserve">“(...) </w:t>
      </w:r>
      <w:r w:rsidRPr="0026233A">
        <w:rPr>
          <w:i/>
          <w:sz w:val="20"/>
          <w:shd w:val="clear" w:color="auto" w:fill="FFFFFF"/>
        </w:rPr>
        <w:t xml:space="preserve">Legitimación en la causa por pasiva. Los artículos 86 de la Constitución Política y 5 del Decreto 2591 de 1991 disponen que la acción de tutela procede en contra de “toda acción u omisión de las autoridades públicas (sic), que haya violado, viole o amenace violar derechos fundamentales”. En este sentido, la Corte Constitucional ha resaltado que el requisito de legitimación en la causa por pasiva exige que la acción de tutela sea interpuesta en contra del sujeto presuntamente responsable de la vulneración o amenaza de los derechos fundamentales o aquel llamado a resolver las pretensiones, sea este una autoridad o un particular”, </w:t>
      </w:r>
      <w:r w:rsidRPr="0026233A">
        <w:rPr>
          <w:sz w:val="20"/>
          <w:shd w:val="clear" w:color="auto" w:fill="FFFFFF"/>
        </w:rPr>
        <w:t>de lo cual es nugatorio establecer algún vínculo con esta cartera ministerial</w:t>
      </w:r>
      <w:r w:rsidRPr="0026233A">
        <w:rPr>
          <w:i/>
          <w:sz w:val="20"/>
          <w:shd w:val="clear" w:color="auto" w:fill="FFFFFF"/>
        </w:rPr>
        <w:t xml:space="preserve"> (…)”</w:t>
      </w:r>
      <w:hyperlink w:anchor="_edn7" w:history="1">
        <w:r w:rsidRPr="0026233A">
          <w:rPr>
            <w:rStyle w:val="Hipervnculo"/>
            <w:b/>
            <w:i/>
            <w:sz w:val="20"/>
            <w:shd w:val="clear" w:color="auto" w:fill="FFFFFF"/>
          </w:rPr>
          <w:t>[</w:t>
        </w:r>
        <w:proofErr w:type="spellStart"/>
        <w:r w:rsidRPr="0026233A">
          <w:rPr>
            <w:rStyle w:val="Hipervnculo"/>
            <w:b/>
            <w:i/>
            <w:sz w:val="20"/>
            <w:shd w:val="clear" w:color="auto" w:fill="FFFFFF"/>
          </w:rPr>
          <w:t>vii</w:t>
        </w:r>
        <w:proofErr w:type="spellEnd"/>
        <w:r w:rsidRPr="0026233A">
          <w:rPr>
            <w:rStyle w:val="Hipervnculo"/>
            <w:b/>
            <w:i/>
            <w:sz w:val="20"/>
            <w:shd w:val="clear" w:color="auto" w:fill="FFFFFF"/>
          </w:rPr>
          <w:t>]</w:t>
        </w:r>
      </w:hyperlink>
    </w:p>
    <w:p w14:paraId="1978A1BE" w14:textId="77777777" w:rsidR="00590236" w:rsidRPr="0026233A" w:rsidRDefault="00590236" w:rsidP="00590236">
      <w:pPr>
        <w:spacing w:after="0" w:line="240" w:lineRule="auto"/>
        <w:rPr>
          <w:sz w:val="20"/>
          <w:shd w:val="clear" w:color="auto" w:fill="FFFFFF"/>
        </w:rPr>
      </w:pPr>
      <w:r w:rsidRPr="0026233A">
        <w:rPr>
          <w:sz w:val="20"/>
          <w:shd w:val="clear" w:color="auto" w:fill="FFFFFF"/>
        </w:rPr>
        <w:t xml:space="preserve"> </w:t>
      </w:r>
    </w:p>
    <w:p w14:paraId="43E1AC1F" w14:textId="77777777" w:rsidR="00590236" w:rsidRDefault="00590236" w:rsidP="00590236">
      <w:pPr>
        <w:spacing w:after="0" w:line="240" w:lineRule="auto"/>
        <w:rPr>
          <w:shd w:val="clear" w:color="auto" w:fill="FFFFFF"/>
        </w:rPr>
      </w:pPr>
      <w:r>
        <w:rPr>
          <w:shd w:val="clear" w:color="auto" w:fill="FFFFFF"/>
        </w:rPr>
        <w:t xml:space="preserve">En ese mismo sentido, en Sentencia T - 029 de 2025, de esa Corporación señaló: </w:t>
      </w:r>
    </w:p>
    <w:p w14:paraId="439500A5" w14:textId="77777777" w:rsidR="00590236" w:rsidRDefault="00590236" w:rsidP="00590236">
      <w:pPr>
        <w:spacing w:after="0" w:line="240" w:lineRule="auto"/>
        <w:rPr>
          <w:i/>
          <w:shd w:val="clear" w:color="auto" w:fill="FFFFFF"/>
        </w:rPr>
      </w:pPr>
      <w:r>
        <w:rPr>
          <w:i/>
          <w:shd w:val="clear" w:color="auto" w:fill="FFFFFF"/>
        </w:rPr>
        <w:t xml:space="preserve"> </w:t>
      </w:r>
    </w:p>
    <w:p w14:paraId="46469C8C" w14:textId="77777777" w:rsidR="00590236" w:rsidRDefault="00590236" w:rsidP="00590236">
      <w:pPr>
        <w:spacing w:after="0" w:line="240" w:lineRule="auto"/>
        <w:ind w:left="567"/>
      </w:pPr>
      <w:r>
        <w:rPr>
          <w:i/>
          <w:shd w:val="clear" w:color="auto" w:fill="FFFFFF"/>
        </w:rPr>
        <w:t>“(…) La legitimación en la causa por pasiva hace referencia a la aptitud legal del particular contra quien se dirige el amparo, para ser llamado a responder por la alegada vulneración o amenaza del derecho fundamental. El precitado artículo 86, en concordancia con los artículos 1º y 13 del Decreto 2591 de 1991, establecen que la tutela procede contra la acción u omisión de cualquier autoridad pública y también contra los particulares que estén encargados de prestar un servicio público o respecto de quienes el solicitante se halle en situación de subordinación e indefensión (…)”</w:t>
      </w:r>
      <w:hyperlink w:anchor="_edn8" w:history="1">
        <w:r>
          <w:rPr>
            <w:rStyle w:val="Hipervnculo"/>
            <w:b/>
            <w:i/>
            <w:shd w:val="clear" w:color="auto" w:fill="FFFFFF"/>
          </w:rPr>
          <w:t>[</w:t>
        </w:r>
        <w:proofErr w:type="spellStart"/>
        <w:r>
          <w:rPr>
            <w:rStyle w:val="Hipervnculo"/>
            <w:b/>
            <w:i/>
            <w:shd w:val="clear" w:color="auto" w:fill="FFFFFF"/>
          </w:rPr>
          <w:t>viii</w:t>
        </w:r>
        <w:proofErr w:type="spellEnd"/>
        <w:r>
          <w:rPr>
            <w:rStyle w:val="Hipervnculo"/>
            <w:b/>
            <w:i/>
            <w:shd w:val="clear" w:color="auto" w:fill="FFFFFF"/>
          </w:rPr>
          <w:t>]</w:t>
        </w:r>
      </w:hyperlink>
    </w:p>
    <w:p w14:paraId="1DF08233" w14:textId="77777777" w:rsidR="00590236" w:rsidRDefault="00590236" w:rsidP="00590236">
      <w:pPr>
        <w:spacing w:after="0" w:line="240" w:lineRule="auto"/>
        <w:rPr>
          <w:shd w:val="clear" w:color="auto" w:fill="FFFFFF"/>
        </w:rPr>
      </w:pPr>
      <w:r>
        <w:rPr>
          <w:shd w:val="clear" w:color="auto" w:fill="FFFFFF"/>
        </w:rPr>
        <w:t xml:space="preserve"> </w:t>
      </w:r>
    </w:p>
    <w:p w14:paraId="0F703E19" w14:textId="1C243EB0" w:rsidR="00590236" w:rsidRPr="00A17024" w:rsidRDefault="00590236" w:rsidP="00590236">
      <w:pPr>
        <w:spacing w:after="0"/>
        <w:rPr>
          <w:sz w:val="20"/>
          <w:szCs w:val="20"/>
        </w:rPr>
      </w:pPr>
      <w:r>
        <w:t xml:space="preserve">El Ministerio del Interior, en los términos de sus atribuciones definidas en la ley y los reglamentos que la desarrollan, no tiene competencia alguna en el asunto que suscita esta acción de tutela y por ende, no puede endilgársele </w:t>
      </w:r>
      <w:r>
        <w:lastRenderedPageBreak/>
        <w:t>responsabilidad frente a los hechos que estima la parte actora vulneran sus derechos fundamentales invocados</w:t>
      </w:r>
      <w:r>
        <w:t>.</w:t>
      </w:r>
      <w:r>
        <w:t xml:space="preserve"> </w:t>
      </w:r>
      <w:r w:rsidRPr="00590236">
        <w:t>El Estado, por tanto, tiene obligaciones tanto positivas (facilitar el autogobierno) como negativas (abstenerse de intervenir indebidamente en los asuntos internos). Este principio implica que los conflictos internos, especialmente aquellos relacionados con la elección de autoridades propias, deben resolverse primordialmente al interior de las comunidades, de acuerdo con sus usos, costumbres y derecho propio.</w:t>
      </w:r>
    </w:p>
    <w:p w14:paraId="08BB063C" w14:textId="600B09DD" w:rsidR="00590236" w:rsidRDefault="00590236" w:rsidP="00590236">
      <w:pPr>
        <w:spacing w:after="0" w:line="240" w:lineRule="auto"/>
      </w:pPr>
    </w:p>
    <w:p w14:paraId="09EADB28" w14:textId="1F90DAEC" w:rsidR="00590236" w:rsidRDefault="00590236" w:rsidP="00590236">
      <w:pPr>
        <w:spacing w:after="0" w:line="240" w:lineRule="auto"/>
      </w:pPr>
      <w:r w:rsidRPr="00590236">
        <w:rPr>
          <w:shd w:val="clear" w:color="auto" w:fill="FFFFFF"/>
        </w:rPr>
        <w:t xml:space="preserve">Si bien </w:t>
      </w:r>
      <w:r>
        <w:rPr>
          <w:shd w:val="clear" w:color="auto" w:fill="FFFFFF"/>
        </w:rPr>
        <w:t>se</w:t>
      </w:r>
      <w:r w:rsidRPr="00590236">
        <w:rPr>
          <w:shd w:val="clear" w:color="auto" w:fill="FFFFFF"/>
        </w:rPr>
        <w:t xml:space="preserve"> invoca el Reglamento Interno como norma propia, se aclara que la función de registro se limita a la verificación formal de las actas aportadas. Las controversias sobre la configuración de inhabilidades de carácter subjetivo o ético-político pertenecen a la </w:t>
      </w:r>
      <w:r w:rsidRPr="00590236">
        <w:rPr>
          <w:shd w:val="clear" w:color="auto" w:fill="FFFFFF"/>
        </w:rPr>
        <w:t>Jurisdicción</w:t>
      </w:r>
      <w:r w:rsidRPr="00590236">
        <w:rPr>
          <w:shd w:val="clear" w:color="auto" w:fill="FFFFFF"/>
        </w:rPr>
        <w:t xml:space="preserve"> Especial Indígena. No le es dado a la autoridad administrativa actuar como juez de las calidades de los elegidos cuando el acta de elección goza de consenso comunitario y presunción de legalidad</w:t>
      </w:r>
      <w:r>
        <w:t xml:space="preserve">. </w:t>
      </w:r>
    </w:p>
    <w:p w14:paraId="11E63938" w14:textId="77777777" w:rsidR="00590236" w:rsidRDefault="00590236" w:rsidP="00590236">
      <w:pPr>
        <w:spacing w:after="0" w:line="240" w:lineRule="auto"/>
      </w:pPr>
      <w:r>
        <w:t xml:space="preserve"> </w:t>
      </w:r>
    </w:p>
    <w:p w14:paraId="482DC8D9" w14:textId="132B46A9" w:rsidR="00590236" w:rsidRDefault="00590236" w:rsidP="00590236">
      <w:pPr>
        <w:spacing w:after="0" w:line="240" w:lineRule="auto"/>
      </w:pPr>
      <w:r w:rsidRPr="00590236">
        <w:t xml:space="preserve">Que, en este caso concreto, los argumentos no demuestran vicio formal esencial que invalide la inscripción. La documentación acreditada permite verificar que la inscripción de la señora Sandra Leticia </w:t>
      </w:r>
      <w:proofErr w:type="spellStart"/>
      <w:r w:rsidRPr="00590236">
        <w:t>Cuastumal</w:t>
      </w:r>
      <w:proofErr w:type="spellEnd"/>
      <w:r w:rsidRPr="00590236">
        <w:t xml:space="preserve"> Mueses como Gobernadora, y como Secretario General del Cabildo al señor Jairo Alexander </w:t>
      </w:r>
      <w:proofErr w:type="spellStart"/>
      <w:r w:rsidRPr="00590236">
        <w:t>Natib</w:t>
      </w:r>
      <w:proofErr w:type="spellEnd"/>
      <w:r w:rsidRPr="00590236">
        <w:t>, entre otros miembros de la corporación en el Registro de Cabildos y/o Autoridades Indígenas, se hizo en el marco del cumplimiento de los requisitos establecidos por la normatividad vigente</w:t>
      </w:r>
      <w:r>
        <w:t>.</w:t>
      </w:r>
    </w:p>
    <w:p w14:paraId="166B0B7D" w14:textId="77777777" w:rsidR="00590236" w:rsidRDefault="00590236">
      <w:pPr>
        <w:spacing w:after="244" w:line="265" w:lineRule="auto"/>
        <w:ind w:left="270"/>
        <w:jc w:val="left"/>
        <w:rPr>
          <w:b/>
        </w:rPr>
      </w:pPr>
    </w:p>
    <w:p w14:paraId="081C2CCD" w14:textId="77777777" w:rsidR="00F84A9D" w:rsidRDefault="00F84A9D" w:rsidP="00F84A9D">
      <w:pPr>
        <w:spacing w:after="0" w:line="240" w:lineRule="auto"/>
        <w:rPr>
          <w:b/>
        </w:rPr>
      </w:pPr>
      <w:r>
        <w:rPr>
          <w:b/>
        </w:rPr>
        <w:t>Consideraciones frente a las funciones del Ministerio del Interior</w:t>
      </w:r>
    </w:p>
    <w:p w14:paraId="3BEF6208" w14:textId="77777777" w:rsidR="00F84A9D" w:rsidRDefault="00F84A9D" w:rsidP="00F84A9D">
      <w:pPr>
        <w:spacing w:after="0" w:line="240" w:lineRule="auto"/>
      </w:pPr>
      <w:r>
        <w:t xml:space="preserve"> </w:t>
      </w:r>
    </w:p>
    <w:p w14:paraId="6990912A" w14:textId="77777777" w:rsidR="00F84A9D" w:rsidRDefault="00F84A9D" w:rsidP="00F84A9D">
      <w:pPr>
        <w:spacing w:after="0" w:line="240" w:lineRule="auto"/>
      </w:pPr>
      <w:r>
        <w:t>Sobre el particular, cabe precisar, que el Decreto Ley 2893 de 2011, en su artículo 2, subrogado por el artículo 2 del Decreto 1140 de 2018, modificado por el artículo 2 del Decreto 0714 de 2024, establece las funciones del Ministerio del Interior, así:</w:t>
      </w:r>
    </w:p>
    <w:p w14:paraId="6A1DE44D" w14:textId="77777777" w:rsidR="00F84A9D" w:rsidRDefault="00F84A9D" w:rsidP="00F84A9D">
      <w:pPr>
        <w:spacing w:after="0" w:line="240" w:lineRule="auto"/>
      </w:pPr>
    </w:p>
    <w:p w14:paraId="17CC5B55" w14:textId="77777777" w:rsidR="00F84A9D" w:rsidRPr="00C50D1E" w:rsidRDefault="00F84A9D" w:rsidP="00F84A9D">
      <w:pPr>
        <w:spacing w:line="240" w:lineRule="auto"/>
        <w:ind w:left="567"/>
        <w:rPr>
          <w:i/>
          <w:sz w:val="21"/>
          <w:szCs w:val="18"/>
        </w:rPr>
      </w:pPr>
      <w:r w:rsidRPr="00C50D1E">
        <w:rPr>
          <w:i/>
          <w:sz w:val="21"/>
          <w:szCs w:val="18"/>
        </w:rPr>
        <w:t>“(…)</w:t>
      </w:r>
    </w:p>
    <w:p w14:paraId="15D87AF0" w14:textId="77777777" w:rsidR="00F84A9D" w:rsidRPr="00C50D1E" w:rsidRDefault="00F84A9D" w:rsidP="00F84A9D">
      <w:pPr>
        <w:spacing w:line="240" w:lineRule="auto"/>
        <w:ind w:left="1134" w:hanging="425"/>
        <w:rPr>
          <w:i/>
          <w:sz w:val="20"/>
          <w:szCs w:val="16"/>
        </w:rPr>
      </w:pPr>
      <w:r w:rsidRPr="00C50D1E">
        <w:rPr>
          <w:bCs/>
          <w:i/>
          <w:sz w:val="20"/>
          <w:szCs w:val="16"/>
        </w:rPr>
        <w:t>1.</w:t>
      </w:r>
      <w:r w:rsidRPr="00C50D1E">
        <w:rPr>
          <w:sz w:val="20"/>
          <w:szCs w:val="16"/>
        </w:rPr>
        <w:t xml:space="preserve">   </w:t>
      </w:r>
      <w:r w:rsidRPr="00C50D1E">
        <w:rPr>
          <w:i/>
          <w:sz w:val="20"/>
          <w:szCs w:val="16"/>
        </w:rPr>
        <w:t>Articular la formulación, adopción, ejecución y evaluación de las políticas públicas del Sector Administrativo del Interior.</w:t>
      </w:r>
    </w:p>
    <w:p w14:paraId="2CF0FF5D" w14:textId="77777777" w:rsidR="00F84A9D" w:rsidRPr="00C50D1E" w:rsidRDefault="00F84A9D" w:rsidP="00F84A9D">
      <w:pPr>
        <w:spacing w:line="240" w:lineRule="auto"/>
        <w:ind w:left="1134" w:hanging="425"/>
        <w:rPr>
          <w:i/>
          <w:sz w:val="20"/>
          <w:szCs w:val="16"/>
        </w:rPr>
      </w:pPr>
      <w:r w:rsidRPr="00C50D1E">
        <w:rPr>
          <w:bCs/>
          <w:i/>
          <w:sz w:val="20"/>
          <w:szCs w:val="16"/>
        </w:rPr>
        <w:t>2.</w:t>
      </w:r>
      <w:r w:rsidRPr="00C50D1E">
        <w:rPr>
          <w:sz w:val="20"/>
          <w:szCs w:val="16"/>
        </w:rPr>
        <w:t xml:space="preserve">   </w:t>
      </w:r>
      <w:r w:rsidRPr="00C50D1E">
        <w:rPr>
          <w:i/>
          <w:sz w:val="20"/>
          <w:szCs w:val="16"/>
        </w:rPr>
        <w:t xml:space="preserve">Diseñar e implementar de conformidad con la ley las políticas públicas de protección, promoción, respeto y garantía de los Derechos Humanos, en coordinación con las demás entidades del Estado competentes, así como la prevención a las violaciones de estos y la observancia al Derecho </w:t>
      </w:r>
      <w:r w:rsidRPr="00C50D1E">
        <w:rPr>
          <w:i/>
          <w:sz w:val="20"/>
          <w:szCs w:val="16"/>
        </w:rPr>
        <w:lastRenderedPageBreak/>
        <w:t>Internacional Humanitario, con un enfoque integral, diferencial, social y de género.</w:t>
      </w:r>
    </w:p>
    <w:p w14:paraId="348152C6" w14:textId="77777777" w:rsidR="00F84A9D" w:rsidRPr="00C50D1E" w:rsidRDefault="00F84A9D" w:rsidP="00F84A9D">
      <w:pPr>
        <w:spacing w:line="240" w:lineRule="auto"/>
        <w:ind w:left="1134" w:hanging="425"/>
        <w:rPr>
          <w:i/>
          <w:sz w:val="20"/>
          <w:szCs w:val="16"/>
        </w:rPr>
      </w:pPr>
      <w:r w:rsidRPr="00C50D1E">
        <w:rPr>
          <w:bCs/>
          <w:i/>
          <w:sz w:val="20"/>
          <w:szCs w:val="16"/>
        </w:rPr>
        <w:t>3.</w:t>
      </w:r>
      <w:r w:rsidRPr="00C50D1E">
        <w:rPr>
          <w:sz w:val="20"/>
          <w:szCs w:val="16"/>
        </w:rPr>
        <w:t xml:space="preserve">   </w:t>
      </w:r>
      <w:r w:rsidRPr="00C50D1E">
        <w:rPr>
          <w:i/>
          <w:sz w:val="20"/>
          <w:szCs w:val="16"/>
        </w:rPr>
        <w:t>Servir de enlace y coordinador de las entidades del orden nacional en su relación con los entes territoriales y promover la Integración de la Nación con el territorio y el desarrollo territorial, a través de la profundización de la descentralización, ordenamiento y autonomía territorial y la coordinación y armonización de las agendas de los diversos sectores administrativos, dentro de sus competencias, en procura de este objetivo.</w:t>
      </w:r>
    </w:p>
    <w:p w14:paraId="6051546A" w14:textId="77777777" w:rsidR="00F84A9D" w:rsidRPr="00C50D1E" w:rsidRDefault="00F84A9D" w:rsidP="00F84A9D">
      <w:pPr>
        <w:spacing w:line="240" w:lineRule="auto"/>
        <w:ind w:left="1134" w:hanging="425"/>
        <w:rPr>
          <w:i/>
          <w:sz w:val="20"/>
          <w:szCs w:val="16"/>
        </w:rPr>
      </w:pPr>
      <w:r w:rsidRPr="00C50D1E">
        <w:rPr>
          <w:bCs/>
          <w:i/>
          <w:sz w:val="20"/>
          <w:szCs w:val="16"/>
        </w:rPr>
        <w:t>4.</w:t>
      </w:r>
      <w:r w:rsidRPr="00C50D1E">
        <w:rPr>
          <w:sz w:val="20"/>
          <w:szCs w:val="16"/>
        </w:rPr>
        <w:t xml:space="preserve">  </w:t>
      </w:r>
      <w:r w:rsidRPr="00C50D1E">
        <w:rPr>
          <w:i/>
          <w:sz w:val="20"/>
          <w:szCs w:val="16"/>
        </w:rPr>
        <w:t>Diseñar, en coordinación con el Ministerio de Relaciones Exteriores, el Ministerio de Defensa Nacional, el Departamento Nacional de Planeación, el Departamento Administrativo de la Función Pública y demás entidades competentes, la política pública para el fortalecimiento y desarrollo de las capacidades de Gobierno en las administraciones locales ubicadas en zonas fronterizas.</w:t>
      </w:r>
    </w:p>
    <w:p w14:paraId="2B204239" w14:textId="77777777" w:rsidR="00F84A9D" w:rsidRPr="00C50D1E" w:rsidRDefault="00F84A9D" w:rsidP="00F84A9D">
      <w:pPr>
        <w:spacing w:line="240" w:lineRule="auto"/>
        <w:ind w:left="1134" w:hanging="425"/>
        <w:rPr>
          <w:i/>
          <w:sz w:val="20"/>
          <w:szCs w:val="16"/>
        </w:rPr>
      </w:pPr>
      <w:r w:rsidRPr="00C50D1E">
        <w:rPr>
          <w:bCs/>
          <w:i/>
          <w:sz w:val="20"/>
          <w:szCs w:val="16"/>
        </w:rPr>
        <w:t>5.</w:t>
      </w:r>
      <w:r w:rsidRPr="00C50D1E">
        <w:rPr>
          <w:sz w:val="20"/>
          <w:szCs w:val="16"/>
        </w:rPr>
        <w:t xml:space="preserve">   </w:t>
      </w:r>
      <w:r w:rsidRPr="00C50D1E">
        <w:rPr>
          <w:i/>
          <w:sz w:val="20"/>
          <w:szCs w:val="16"/>
        </w:rPr>
        <w:t>Dirigir y promover las políticas tendientes a la prevención de factores que atenten contra el orden público interno, así como tomarlas medidas para su preservación, en coordinación con el Ministerio de Defensa Nacional, fas autoridades departamentales y locales en lo que a estos corresponda.</w:t>
      </w:r>
    </w:p>
    <w:p w14:paraId="0F9944C6" w14:textId="77777777" w:rsidR="00F84A9D" w:rsidRPr="00C50D1E" w:rsidRDefault="00F84A9D" w:rsidP="00F84A9D">
      <w:pPr>
        <w:spacing w:line="240" w:lineRule="auto"/>
        <w:ind w:left="1134" w:hanging="425"/>
        <w:rPr>
          <w:i/>
          <w:sz w:val="20"/>
          <w:szCs w:val="16"/>
        </w:rPr>
      </w:pPr>
      <w:r w:rsidRPr="00C50D1E">
        <w:rPr>
          <w:bCs/>
          <w:i/>
          <w:sz w:val="20"/>
          <w:szCs w:val="16"/>
        </w:rPr>
        <w:t>6.</w:t>
      </w:r>
      <w:r w:rsidRPr="00C50D1E">
        <w:rPr>
          <w:sz w:val="20"/>
          <w:szCs w:val="16"/>
        </w:rPr>
        <w:t xml:space="preserve">   </w:t>
      </w:r>
      <w:r w:rsidRPr="00C50D1E">
        <w:rPr>
          <w:i/>
          <w:sz w:val="20"/>
          <w:szCs w:val="16"/>
        </w:rPr>
        <w:t>Atenderlos asuntos políticos y el ejercicio de los derechos en esta materia, así como promover la convivencia y la participación ciudadana en la vida y organización social y política de la Nación.</w:t>
      </w:r>
    </w:p>
    <w:p w14:paraId="05F01F06" w14:textId="77777777" w:rsidR="00F84A9D" w:rsidRPr="00C50D1E" w:rsidRDefault="00F84A9D" w:rsidP="00F84A9D">
      <w:pPr>
        <w:spacing w:line="240" w:lineRule="auto"/>
        <w:ind w:left="1134" w:hanging="425"/>
        <w:rPr>
          <w:i/>
          <w:sz w:val="20"/>
          <w:szCs w:val="16"/>
        </w:rPr>
      </w:pPr>
      <w:r w:rsidRPr="00C50D1E">
        <w:rPr>
          <w:bCs/>
          <w:i/>
          <w:sz w:val="20"/>
          <w:szCs w:val="16"/>
        </w:rPr>
        <w:t>7.</w:t>
      </w:r>
      <w:r w:rsidRPr="00C50D1E">
        <w:rPr>
          <w:sz w:val="20"/>
          <w:szCs w:val="16"/>
        </w:rPr>
        <w:t xml:space="preserve">  </w:t>
      </w:r>
      <w:r w:rsidRPr="00C50D1E">
        <w:rPr>
          <w:i/>
          <w:sz w:val="20"/>
          <w:szCs w:val="16"/>
        </w:rPr>
        <w:t>Promover y apoyar la generación de infraestructura para la seguridad y convivencia ciudadana en las entidades territoriales.</w:t>
      </w:r>
    </w:p>
    <w:p w14:paraId="67E2DA68" w14:textId="77777777" w:rsidR="00F84A9D" w:rsidRPr="00C50D1E" w:rsidRDefault="00F84A9D" w:rsidP="00F84A9D">
      <w:pPr>
        <w:spacing w:line="240" w:lineRule="auto"/>
        <w:ind w:left="1134" w:hanging="425"/>
        <w:rPr>
          <w:i/>
          <w:sz w:val="20"/>
          <w:szCs w:val="16"/>
        </w:rPr>
      </w:pPr>
      <w:r w:rsidRPr="00C50D1E">
        <w:rPr>
          <w:bCs/>
          <w:i/>
          <w:sz w:val="20"/>
          <w:szCs w:val="16"/>
        </w:rPr>
        <w:t>8.</w:t>
      </w:r>
      <w:r w:rsidRPr="00C50D1E">
        <w:rPr>
          <w:sz w:val="20"/>
          <w:szCs w:val="16"/>
        </w:rPr>
        <w:t xml:space="preserve">  </w:t>
      </w:r>
      <w:r w:rsidRPr="00C50D1E">
        <w:rPr>
          <w:i/>
          <w:sz w:val="20"/>
          <w:szCs w:val="16"/>
        </w:rPr>
        <w:t>Administrar el Fondo de Seguridad y Convivencia Ciudadana -</w:t>
      </w:r>
      <w:proofErr w:type="spellStart"/>
      <w:r w:rsidRPr="00C50D1E">
        <w:rPr>
          <w:i/>
          <w:sz w:val="20"/>
          <w:szCs w:val="16"/>
        </w:rPr>
        <w:t>Fonsecon</w:t>
      </w:r>
      <w:proofErr w:type="spellEnd"/>
      <w:r w:rsidRPr="00C50D1E">
        <w:rPr>
          <w:i/>
          <w:sz w:val="20"/>
          <w:szCs w:val="16"/>
        </w:rPr>
        <w:t>- teniendo en cuenta la participación del Sector Administrativo de Justicia y del Derecho, según los proyectos que se presenten y de conformidad con la política que en materia de seguridad y convivencia defina el Gobierno nacional.</w:t>
      </w:r>
    </w:p>
    <w:p w14:paraId="04E1AE96" w14:textId="77777777" w:rsidR="00F84A9D" w:rsidRPr="00C50D1E" w:rsidRDefault="00F84A9D" w:rsidP="00F84A9D">
      <w:pPr>
        <w:spacing w:line="240" w:lineRule="auto"/>
        <w:ind w:left="1134" w:hanging="425"/>
        <w:rPr>
          <w:i/>
          <w:sz w:val="20"/>
          <w:szCs w:val="16"/>
        </w:rPr>
      </w:pPr>
      <w:r w:rsidRPr="00C50D1E">
        <w:rPr>
          <w:bCs/>
          <w:i/>
          <w:sz w:val="20"/>
          <w:szCs w:val="16"/>
        </w:rPr>
        <w:t>9.</w:t>
      </w:r>
      <w:r w:rsidRPr="00C50D1E">
        <w:rPr>
          <w:sz w:val="20"/>
          <w:szCs w:val="16"/>
        </w:rPr>
        <w:t xml:space="preserve">   </w:t>
      </w:r>
      <w:r w:rsidRPr="00C50D1E">
        <w:rPr>
          <w:i/>
          <w:sz w:val="20"/>
          <w:szCs w:val="16"/>
        </w:rPr>
        <w:t>Administrar el Fondo para la Participación Ciudadana y Fortalecimiento de la Democracia, el Fondo de Protección de Justicia y el Fondo Nacional de Lucha contra la Trata de Personas.</w:t>
      </w:r>
    </w:p>
    <w:p w14:paraId="60F36C0F" w14:textId="77777777" w:rsidR="00F84A9D" w:rsidRPr="00C50D1E" w:rsidRDefault="00F84A9D" w:rsidP="00F84A9D">
      <w:pPr>
        <w:spacing w:line="240" w:lineRule="auto"/>
        <w:ind w:left="1134" w:hanging="425"/>
        <w:rPr>
          <w:i/>
          <w:sz w:val="20"/>
          <w:szCs w:val="16"/>
        </w:rPr>
      </w:pPr>
      <w:r w:rsidRPr="00C50D1E">
        <w:rPr>
          <w:bCs/>
          <w:i/>
          <w:sz w:val="20"/>
          <w:szCs w:val="16"/>
        </w:rPr>
        <w:t>10.</w:t>
      </w:r>
      <w:r w:rsidRPr="00C50D1E">
        <w:rPr>
          <w:bCs/>
          <w:sz w:val="20"/>
          <w:szCs w:val="16"/>
        </w:rPr>
        <w:tab/>
      </w:r>
      <w:r w:rsidRPr="00C50D1E">
        <w:rPr>
          <w:sz w:val="20"/>
          <w:szCs w:val="16"/>
        </w:rPr>
        <w:t xml:space="preserve"> </w:t>
      </w:r>
      <w:r w:rsidRPr="00C50D1E">
        <w:rPr>
          <w:i/>
          <w:sz w:val="20"/>
          <w:szCs w:val="16"/>
        </w:rPr>
        <w:t>Formular, promover y hacer seguimiento al derecho fundamental de consulta previa, concertación, diálogo político, coordinación interinstitucional, participación, representación política y registro de los pueblos y comunidades étnicas, con un enfoque integral, diferencial, social y de género, en coordinación con las demás entidades competentes del Estado.</w:t>
      </w:r>
    </w:p>
    <w:p w14:paraId="758564CC" w14:textId="77777777" w:rsidR="00F84A9D" w:rsidRPr="00C50D1E" w:rsidRDefault="00F84A9D" w:rsidP="00F84A9D">
      <w:pPr>
        <w:spacing w:line="240" w:lineRule="auto"/>
        <w:ind w:left="1134" w:hanging="425"/>
        <w:rPr>
          <w:i/>
          <w:sz w:val="20"/>
          <w:szCs w:val="16"/>
        </w:rPr>
      </w:pPr>
      <w:r w:rsidRPr="00C50D1E">
        <w:rPr>
          <w:bCs/>
          <w:i/>
          <w:sz w:val="20"/>
          <w:szCs w:val="16"/>
        </w:rPr>
        <w:lastRenderedPageBreak/>
        <w:t>11.</w:t>
      </w:r>
      <w:r w:rsidRPr="00C50D1E">
        <w:rPr>
          <w:bCs/>
          <w:sz w:val="20"/>
          <w:szCs w:val="16"/>
        </w:rPr>
        <w:tab/>
      </w:r>
      <w:r w:rsidRPr="00C50D1E">
        <w:rPr>
          <w:i/>
          <w:sz w:val="20"/>
          <w:szCs w:val="16"/>
        </w:rPr>
        <w:t>Formular y promover la política pública de libertad religiosa, de cultos y conciencia, y el derecho individual a profesar una religión o credo para su efectiva materialización, protección, promoción, difusión y su aporte al bien común, con un enfoque integral, pluralista y social, en coordinación con las demás entidades competentes del Estado, en los términos de la Ley 133 de 1994, 1753 de 2015.</w:t>
      </w:r>
    </w:p>
    <w:p w14:paraId="1978CEC9" w14:textId="77777777" w:rsidR="00F84A9D" w:rsidRPr="00C50D1E" w:rsidRDefault="00F84A9D" w:rsidP="00F84A9D">
      <w:pPr>
        <w:spacing w:line="240" w:lineRule="auto"/>
        <w:ind w:left="1134" w:hanging="425"/>
        <w:rPr>
          <w:i/>
          <w:sz w:val="20"/>
          <w:szCs w:val="16"/>
        </w:rPr>
      </w:pPr>
      <w:r w:rsidRPr="00C50D1E">
        <w:rPr>
          <w:bCs/>
          <w:i/>
          <w:sz w:val="20"/>
          <w:szCs w:val="16"/>
        </w:rPr>
        <w:t>12.</w:t>
      </w:r>
      <w:r w:rsidRPr="00C50D1E">
        <w:rPr>
          <w:bCs/>
          <w:sz w:val="20"/>
          <w:szCs w:val="16"/>
        </w:rPr>
        <w:tab/>
      </w:r>
      <w:r w:rsidRPr="00C50D1E">
        <w:rPr>
          <w:sz w:val="20"/>
          <w:szCs w:val="16"/>
        </w:rPr>
        <w:t xml:space="preserve"> </w:t>
      </w:r>
      <w:r w:rsidRPr="00C50D1E">
        <w:rPr>
          <w:i/>
          <w:sz w:val="20"/>
          <w:szCs w:val="16"/>
        </w:rPr>
        <w:t>Formular y promover las políticas públicas relacionadas con la protección, promoción y difusión del derecho de autor y los derechos conexos. Así mismo, recomendar la adhesión y procurar la ratificación y aplicación de las convenciones internacionales suscritas por el Estado colombiano en la materia.</w:t>
      </w:r>
    </w:p>
    <w:p w14:paraId="4AA1C56B" w14:textId="77777777" w:rsidR="00F84A9D" w:rsidRPr="00C50D1E" w:rsidRDefault="00F84A9D" w:rsidP="00F84A9D">
      <w:pPr>
        <w:spacing w:line="240" w:lineRule="auto"/>
        <w:ind w:left="1134" w:hanging="425"/>
        <w:rPr>
          <w:i/>
          <w:sz w:val="20"/>
          <w:szCs w:val="16"/>
        </w:rPr>
      </w:pPr>
      <w:r w:rsidRPr="00C50D1E">
        <w:rPr>
          <w:bCs/>
          <w:i/>
          <w:sz w:val="20"/>
          <w:szCs w:val="16"/>
        </w:rPr>
        <w:t>13.</w:t>
      </w:r>
      <w:r w:rsidRPr="00C50D1E">
        <w:rPr>
          <w:i/>
          <w:sz w:val="20"/>
          <w:szCs w:val="16"/>
        </w:rPr>
        <w:t xml:space="preserve"> Formular, promover y hacer seguimiento a las políticas públicas relacionadas con los objetivos y funciones de las entidades públicas adscritas y vinculadas al Ministerio del Interior</w:t>
      </w:r>
    </w:p>
    <w:p w14:paraId="3B1F6FE4" w14:textId="77777777" w:rsidR="00F84A9D" w:rsidRPr="00C50D1E" w:rsidRDefault="00F84A9D" w:rsidP="00F84A9D">
      <w:pPr>
        <w:spacing w:line="240" w:lineRule="auto"/>
        <w:ind w:left="1134" w:hanging="425"/>
        <w:rPr>
          <w:i/>
          <w:sz w:val="20"/>
          <w:szCs w:val="16"/>
        </w:rPr>
      </w:pPr>
      <w:r w:rsidRPr="00C50D1E">
        <w:rPr>
          <w:bCs/>
          <w:i/>
          <w:sz w:val="20"/>
          <w:szCs w:val="16"/>
        </w:rPr>
        <w:t>14.</w:t>
      </w:r>
      <w:r w:rsidRPr="00C50D1E">
        <w:rPr>
          <w:bCs/>
          <w:sz w:val="20"/>
          <w:szCs w:val="16"/>
        </w:rPr>
        <w:tab/>
      </w:r>
      <w:r w:rsidRPr="00C50D1E">
        <w:rPr>
          <w:i/>
          <w:sz w:val="20"/>
          <w:szCs w:val="16"/>
        </w:rPr>
        <w:t>Coordinar, con el concurso de los demás ministerios, la agenda legislativa del Gobierno nacional en el Congreso de la República y las demás entidades del orden nacional.</w:t>
      </w:r>
    </w:p>
    <w:p w14:paraId="40144563" w14:textId="77777777" w:rsidR="00F84A9D" w:rsidRPr="00C50D1E" w:rsidRDefault="00F84A9D" w:rsidP="00F84A9D">
      <w:pPr>
        <w:spacing w:line="240" w:lineRule="auto"/>
        <w:ind w:left="1134" w:hanging="425"/>
        <w:rPr>
          <w:i/>
          <w:sz w:val="20"/>
          <w:szCs w:val="16"/>
        </w:rPr>
      </w:pPr>
      <w:r w:rsidRPr="00C50D1E">
        <w:rPr>
          <w:bCs/>
          <w:i/>
          <w:sz w:val="20"/>
          <w:szCs w:val="16"/>
        </w:rPr>
        <w:t>15.</w:t>
      </w:r>
      <w:r w:rsidRPr="00C50D1E">
        <w:rPr>
          <w:bCs/>
          <w:sz w:val="20"/>
          <w:szCs w:val="16"/>
        </w:rPr>
        <w:tab/>
      </w:r>
      <w:r w:rsidRPr="00C50D1E">
        <w:rPr>
          <w:i/>
          <w:sz w:val="20"/>
          <w:szCs w:val="16"/>
        </w:rPr>
        <w:t>Servir de órgano de enlace, comunicación y coordinación entre la Rama Ejecutiva y la Rama Legislativa.</w:t>
      </w:r>
    </w:p>
    <w:p w14:paraId="64B6AC59" w14:textId="77777777" w:rsidR="00F84A9D" w:rsidRPr="00C50D1E" w:rsidRDefault="00F84A9D" w:rsidP="00F84A9D">
      <w:pPr>
        <w:spacing w:line="240" w:lineRule="auto"/>
        <w:ind w:left="1134" w:hanging="425"/>
        <w:rPr>
          <w:i/>
          <w:sz w:val="20"/>
          <w:szCs w:val="16"/>
        </w:rPr>
      </w:pPr>
      <w:r w:rsidRPr="00C50D1E">
        <w:rPr>
          <w:bCs/>
          <w:i/>
          <w:sz w:val="20"/>
          <w:szCs w:val="16"/>
        </w:rPr>
        <w:t>16.</w:t>
      </w:r>
      <w:r w:rsidRPr="00C50D1E">
        <w:rPr>
          <w:bCs/>
          <w:sz w:val="20"/>
          <w:szCs w:val="16"/>
        </w:rPr>
        <w:tab/>
      </w:r>
      <w:r w:rsidRPr="00C50D1E">
        <w:rPr>
          <w:sz w:val="20"/>
          <w:szCs w:val="16"/>
        </w:rPr>
        <w:t xml:space="preserve"> </w:t>
      </w:r>
      <w:r w:rsidRPr="00C50D1E">
        <w:rPr>
          <w:i/>
          <w:sz w:val="20"/>
          <w:szCs w:val="16"/>
        </w:rPr>
        <w:t>Coordinar con las demás autoridades competentes el diseño e implementación de herramientas y mecanismos eficientes en materia electoral que busquen garantizar el normal desarrollo de los procesos electorales.</w:t>
      </w:r>
    </w:p>
    <w:p w14:paraId="4EFEB3D0" w14:textId="77777777" w:rsidR="00F84A9D" w:rsidRPr="00C50D1E" w:rsidRDefault="00F84A9D" w:rsidP="00F84A9D">
      <w:pPr>
        <w:spacing w:line="240" w:lineRule="auto"/>
        <w:ind w:left="1134" w:hanging="425"/>
        <w:rPr>
          <w:i/>
          <w:sz w:val="20"/>
          <w:szCs w:val="16"/>
        </w:rPr>
      </w:pPr>
      <w:r w:rsidRPr="00C50D1E">
        <w:rPr>
          <w:bCs/>
          <w:i/>
          <w:sz w:val="20"/>
          <w:szCs w:val="16"/>
        </w:rPr>
        <w:t>17.</w:t>
      </w:r>
      <w:r w:rsidRPr="00C50D1E">
        <w:rPr>
          <w:bCs/>
          <w:sz w:val="20"/>
          <w:szCs w:val="16"/>
        </w:rPr>
        <w:tab/>
      </w:r>
      <w:r w:rsidRPr="00C50D1E">
        <w:rPr>
          <w:i/>
          <w:sz w:val="20"/>
          <w:szCs w:val="16"/>
        </w:rPr>
        <w:t>Incentivar alianzas estratégicas con otros gobiernos u organismos de carácter internacional, que faciliten e impulsen el logro de los objetivos del Sector Administrativo del Interior, en coordinación con las entidades estatales competentes.</w:t>
      </w:r>
    </w:p>
    <w:p w14:paraId="1C451878" w14:textId="77777777" w:rsidR="00F84A9D" w:rsidRPr="00C50D1E" w:rsidRDefault="00F84A9D" w:rsidP="00F84A9D">
      <w:pPr>
        <w:spacing w:line="240" w:lineRule="auto"/>
        <w:ind w:left="1134" w:hanging="425"/>
        <w:rPr>
          <w:i/>
          <w:sz w:val="20"/>
          <w:szCs w:val="16"/>
        </w:rPr>
      </w:pPr>
      <w:r w:rsidRPr="00C50D1E">
        <w:rPr>
          <w:bCs/>
          <w:i/>
          <w:sz w:val="20"/>
          <w:szCs w:val="16"/>
        </w:rPr>
        <w:t>18.</w:t>
      </w:r>
      <w:r w:rsidRPr="00C50D1E">
        <w:rPr>
          <w:bCs/>
          <w:sz w:val="20"/>
          <w:szCs w:val="16"/>
        </w:rPr>
        <w:tab/>
      </w:r>
      <w:r w:rsidRPr="00C50D1E">
        <w:rPr>
          <w:sz w:val="20"/>
          <w:szCs w:val="16"/>
        </w:rPr>
        <w:t xml:space="preserve"> </w:t>
      </w:r>
      <w:r w:rsidRPr="00C50D1E">
        <w:rPr>
          <w:i/>
          <w:sz w:val="20"/>
          <w:szCs w:val="16"/>
        </w:rPr>
        <w:t>Las demás funciones asignadas por la Constitución y la ley.</w:t>
      </w:r>
      <w:r w:rsidRPr="00C50D1E">
        <w:rPr>
          <w:i/>
          <w:sz w:val="21"/>
          <w:szCs w:val="18"/>
        </w:rPr>
        <w:t>(…)”</w:t>
      </w:r>
      <w:hyperlink w:anchor="_edn9" w:history="1">
        <w:r w:rsidRPr="00C50D1E">
          <w:rPr>
            <w:rStyle w:val="Hipervnculo"/>
            <w:b/>
            <w:i/>
            <w:sz w:val="21"/>
            <w:szCs w:val="18"/>
          </w:rPr>
          <w:t>[</w:t>
        </w:r>
        <w:proofErr w:type="spellStart"/>
        <w:r w:rsidRPr="00C50D1E">
          <w:rPr>
            <w:rStyle w:val="Hipervnculo"/>
            <w:b/>
            <w:i/>
            <w:sz w:val="21"/>
            <w:szCs w:val="18"/>
          </w:rPr>
          <w:t>ix</w:t>
        </w:r>
        <w:proofErr w:type="spellEnd"/>
        <w:r w:rsidRPr="00C50D1E">
          <w:rPr>
            <w:rStyle w:val="Hipervnculo"/>
            <w:b/>
            <w:i/>
            <w:sz w:val="21"/>
            <w:szCs w:val="18"/>
          </w:rPr>
          <w:t>]</w:t>
        </w:r>
      </w:hyperlink>
    </w:p>
    <w:p w14:paraId="21C86845" w14:textId="77777777" w:rsidR="00F84A9D" w:rsidRDefault="00F84A9D" w:rsidP="00F84A9D">
      <w:pPr>
        <w:spacing w:line="240" w:lineRule="auto"/>
      </w:pPr>
      <w:r>
        <w:t>Ahora bien, el artículo 13 del Decreto 2893 de 2011</w:t>
      </w:r>
      <w:hyperlink w:anchor="_edn13" w:history="1">
        <w:r>
          <w:rPr>
            <w:rStyle w:val="Hipervnculo"/>
          </w:rPr>
          <w:t>[</w:t>
        </w:r>
        <w:proofErr w:type="spellStart"/>
        <w:r>
          <w:rPr>
            <w:rStyle w:val="Hipervnculo"/>
          </w:rPr>
          <w:t>xiii</w:t>
        </w:r>
        <w:proofErr w:type="spellEnd"/>
        <w:r>
          <w:rPr>
            <w:rStyle w:val="Hipervnculo"/>
          </w:rPr>
          <w:t>]</w:t>
        </w:r>
      </w:hyperlink>
      <w:r>
        <w:t>, modificado por el artículo 1° del Decreto 2340 de 2015</w:t>
      </w:r>
      <w:hyperlink w:anchor="_edn14" w:history="1">
        <w:r>
          <w:rPr>
            <w:rStyle w:val="Hipervnculo"/>
          </w:rPr>
          <w:t>[</w:t>
        </w:r>
        <w:proofErr w:type="spellStart"/>
        <w:r>
          <w:rPr>
            <w:rStyle w:val="Hipervnculo"/>
          </w:rPr>
          <w:t>xiv</w:t>
        </w:r>
        <w:proofErr w:type="spellEnd"/>
        <w:r>
          <w:rPr>
            <w:rStyle w:val="Hipervnculo"/>
          </w:rPr>
          <w:t>]</w:t>
        </w:r>
      </w:hyperlink>
      <w:r>
        <w:t xml:space="preserve"> y el artículo 8º del Decreto 714 de 2024</w:t>
      </w:r>
      <w:hyperlink w:anchor="_edn15" w:history="1">
        <w:r>
          <w:rPr>
            <w:rStyle w:val="Hipervnculo"/>
          </w:rPr>
          <w:t>[</w:t>
        </w:r>
        <w:proofErr w:type="spellStart"/>
        <w:r>
          <w:rPr>
            <w:rStyle w:val="Hipervnculo"/>
          </w:rPr>
          <w:t>xv</w:t>
        </w:r>
        <w:proofErr w:type="spellEnd"/>
        <w:r>
          <w:rPr>
            <w:rStyle w:val="Hipervnculo"/>
          </w:rPr>
          <w:t>]</w:t>
        </w:r>
      </w:hyperlink>
      <w:r>
        <w:t>, dispone que son funciones de la Dirección de Asuntos Indígenas, Rom y Minorías dentro del Ministerio del Interior:</w:t>
      </w:r>
    </w:p>
    <w:p w14:paraId="2054ED25" w14:textId="77777777" w:rsidR="00F84A9D" w:rsidRPr="00C50D1E" w:rsidRDefault="00F84A9D" w:rsidP="00F84A9D">
      <w:pPr>
        <w:spacing w:line="240" w:lineRule="auto"/>
        <w:ind w:left="567"/>
        <w:rPr>
          <w:i/>
          <w:sz w:val="20"/>
        </w:rPr>
      </w:pPr>
      <w:r w:rsidRPr="00C50D1E">
        <w:rPr>
          <w:i/>
          <w:sz w:val="20"/>
        </w:rPr>
        <w:t>“(…)</w:t>
      </w:r>
    </w:p>
    <w:p w14:paraId="751A6241" w14:textId="77777777" w:rsidR="00F84A9D" w:rsidRPr="00C50D1E" w:rsidRDefault="00F84A9D" w:rsidP="00F84A9D">
      <w:pPr>
        <w:spacing w:line="240" w:lineRule="auto"/>
        <w:ind w:left="993" w:hanging="360"/>
        <w:rPr>
          <w:i/>
          <w:sz w:val="20"/>
        </w:rPr>
      </w:pPr>
      <w:r w:rsidRPr="00C50D1E">
        <w:rPr>
          <w:i/>
          <w:sz w:val="20"/>
        </w:rPr>
        <w:lastRenderedPageBreak/>
        <w:t>1.</w:t>
      </w:r>
      <w:r w:rsidRPr="00C50D1E">
        <w:rPr>
          <w:sz w:val="20"/>
        </w:rPr>
        <w:t xml:space="preserve"> </w:t>
      </w:r>
      <w:r w:rsidRPr="00C50D1E">
        <w:rPr>
          <w:i/>
          <w:sz w:val="20"/>
        </w:rPr>
        <w:t>Asesorar, y articular la concertación, diálogo político, coordinación interinstitucional, participación, representación política y registro de los pueblos indígenas y Rom en el marco de su competencia.</w:t>
      </w:r>
    </w:p>
    <w:p w14:paraId="10385233" w14:textId="77777777" w:rsidR="00F84A9D" w:rsidRPr="00C50D1E" w:rsidRDefault="00F84A9D" w:rsidP="00F84A9D">
      <w:pPr>
        <w:spacing w:line="240" w:lineRule="auto"/>
        <w:ind w:left="993" w:hanging="360"/>
        <w:rPr>
          <w:i/>
          <w:sz w:val="20"/>
        </w:rPr>
      </w:pPr>
      <w:r w:rsidRPr="00C50D1E">
        <w:rPr>
          <w:i/>
          <w:sz w:val="20"/>
        </w:rPr>
        <w:t>2.</w:t>
      </w:r>
      <w:r w:rsidRPr="00C50D1E">
        <w:rPr>
          <w:sz w:val="20"/>
        </w:rPr>
        <w:t xml:space="preserve">   </w:t>
      </w:r>
      <w:r w:rsidRPr="00C50D1E">
        <w:rPr>
          <w:i/>
          <w:sz w:val="20"/>
        </w:rPr>
        <w:t>Coordinar interinstitucionalmente el diálogo político con los pueblos indígenas y Rom previsto por la ley, y promover la participación de las organizaciones y autoridades que los representen.</w:t>
      </w:r>
    </w:p>
    <w:p w14:paraId="5BB6284C" w14:textId="77777777" w:rsidR="00F84A9D" w:rsidRPr="00C50D1E" w:rsidRDefault="00F84A9D" w:rsidP="00F84A9D">
      <w:pPr>
        <w:spacing w:line="240" w:lineRule="auto"/>
        <w:ind w:left="993" w:hanging="360"/>
        <w:rPr>
          <w:i/>
          <w:sz w:val="20"/>
        </w:rPr>
      </w:pPr>
      <w:r w:rsidRPr="00C50D1E">
        <w:rPr>
          <w:i/>
          <w:sz w:val="20"/>
        </w:rPr>
        <w:t>3.</w:t>
      </w:r>
      <w:r w:rsidRPr="00C50D1E">
        <w:rPr>
          <w:sz w:val="20"/>
        </w:rPr>
        <w:t xml:space="preserve"> </w:t>
      </w:r>
      <w:r w:rsidRPr="00C50D1E">
        <w:rPr>
          <w:i/>
          <w:sz w:val="20"/>
        </w:rPr>
        <w:t>Propender por la conservación de las costumbres y la protección de conocimientos tradicionales, en coordinación con las entidades y organismos competentes.</w:t>
      </w:r>
    </w:p>
    <w:p w14:paraId="7634C72B" w14:textId="77777777" w:rsidR="00F84A9D" w:rsidRPr="00C50D1E" w:rsidRDefault="00F84A9D" w:rsidP="00F84A9D">
      <w:pPr>
        <w:spacing w:line="240" w:lineRule="auto"/>
        <w:ind w:left="993" w:hanging="360"/>
        <w:rPr>
          <w:i/>
          <w:sz w:val="20"/>
        </w:rPr>
      </w:pPr>
      <w:r w:rsidRPr="00C50D1E">
        <w:rPr>
          <w:i/>
          <w:sz w:val="20"/>
        </w:rPr>
        <w:t>4.</w:t>
      </w:r>
      <w:r w:rsidRPr="00C50D1E">
        <w:rPr>
          <w:sz w:val="20"/>
        </w:rPr>
        <w:t xml:space="preserve">   </w:t>
      </w:r>
      <w:r w:rsidRPr="00C50D1E">
        <w:rPr>
          <w:i/>
          <w:sz w:val="20"/>
        </w:rPr>
        <w:t>Prestar a la Dirección de la Autoridad Nacional de Consulta Previa, el apoyo humano, técnico y financiero para la identificación, procedencia y realización de los procesos de consulta previa que esta determine.</w:t>
      </w:r>
    </w:p>
    <w:p w14:paraId="61C9BB79" w14:textId="77777777" w:rsidR="00F84A9D" w:rsidRPr="00C50D1E" w:rsidRDefault="00F84A9D" w:rsidP="00F84A9D">
      <w:pPr>
        <w:spacing w:line="240" w:lineRule="auto"/>
        <w:ind w:left="993" w:hanging="360"/>
        <w:rPr>
          <w:i/>
          <w:sz w:val="20"/>
        </w:rPr>
      </w:pPr>
      <w:r w:rsidRPr="00C50D1E">
        <w:rPr>
          <w:i/>
          <w:sz w:val="20"/>
        </w:rPr>
        <w:t>5.</w:t>
      </w:r>
      <w:r w:rsidRPr="00C50D1E">
        <w:rPr>
          <w:sz w:val="20"/>
        </w:rPr>
        <w:t xml:space="preserve"> </w:t>
      </w:r>
      <w:r w:rsidRPr="00C50D1E">
        <w:rPr>
          <w:i/>
          <w:sz w:val="20"/>
        </w:rPr>
        <w:t>Coordinar y realizar los procesos de consulta previa, para la adopción de iniciativas legislativas y administrativas del nivel nacional, bajo los lineamientos de la Dirección de la Autoridad Nacional de Consulta Previa.</w:t>
      </w:r>
    </w:p>
    <w:p w14:paraId="1329FEBB" w14:textId="77777777" w:rsidR="00F84A9D" w:rsidRPr="00C50D1E" w:rsidRDefault="00F84A9D" w:rsidP="00F84A9D">
      <w:pPr>
        <w:spacing w:line="240" w:lineRule="auto"/>
        <w:ind w:left="993" w:hanging="360"/>
        <w:rPr>
          <w:i/>
          <w:sz w:val="20"/>
        </w:rPr>
      </w:pPr>
      <w:r w:rsidRPr="00C50D1E">
        <w:rPr>
          <w:i/>
          <w:sz w:val="20"/>
        </w:rPr>
        <w:t>6.</w:t>
      </w:r>
      <w:r w:rsidRPr="00C50D1E">
        <w:rPr>
          <w:sz w:val="20"/>
        </w:rPr>
        <w:t xml:space="preserve">  </w:t>
      </w:r>
      <w:r w:rsidRPr="00C50D1E">
        <w:rPr>
          <w:i/>
          <w:sz w:val="20"/>
        </w:rPr>
        <w:t>Llevar el registro de los censos de población de comunidades indígenas y de los resguardos indígenas y las comunidades reconocidas, de las autoridades tradicionales indígenas reconocidas por la respectiva comunidad y de las asociaciones de autoridades tradicionales o cabildos indígenas y su actualización.</w:t>
      </w:r>
    </w:p>
    <w:p w14:paraId="4D1E0361" w14:textId="77777777" w:rsidR="00F84A9D" w:rsidRPr="00C50D1E" w:rsidRDefault="00F84A9D" w:rsidP="00F84A9D">
      <w:pPr>
        <w:spacing w:line="240" w:lineRule="auto"/>
        <w:ind w:left="993" w:hanging="360"/>
        <w:rPr>
          <w:i/>
          <w:sz w:val="20"/>
        </w:rPr>
      </w:pPr>
      <w:r w:rsidRPr="00C50D1E">
        <w:rPr>
          <w:i/>
          <w:sz w:val="20"/>
        </w:rPr>
        <w:t>7.</w:t>
      </w:r>
      <w:r w:rsidRPr="00C50D1E">
        <w:rPr>
          <w:sz w:val="20"/>
        </w:rPr>
        <w:t xml:space="preserve"> </w:t>
      </w:r>
      <w:r w:rsidRPr="00C50D1E">
        <w:rPr>
          <w:i/>
          <w:sz w:val="20"/>
        </w:rPr>
        <w:t>Llevar el registro de los censos de población, autoridades tradicionales reconocidas por la respectiva comunidad y asociaciones del pueblo Rom.</w:t>
      </w:r>
    </w:p>
    <w:p w14:paraId="137489F7" w14:textId="77777777" w:rsidR="00F84A9D" w:rsidRPr="00C50D1E" w:rsidRDefault="00F84A9D" w:rsidP="00F84A9D">
      <w:pPr>
        <w:spacing w:line="240" w:lineRule="auto"/>
        <w:ind w:left="993" w:hanging="360"/>
        <w:rPr>
          <w:i/>
          <w:sz w:val="20"/>
        </w:rPr>
      </w:pPr>
      <w:r w:rsidRPr="00C50D1E">
        <w:rPr>
          <w:i/>
          <w:sz w:val="20"/>
        </w:rPr>
        <w:t>8.</w:t>
      </w:r>
      <w:r w:rsidRPr="00C50D1E">
        <w:rPr>
          <w:sz w:val="20"/>
        </w:rPr>
        <w:t xml:space="preserve">  </w:t>
      </w:r>
      <w:r w:rsidRPr="00C50D1E">
        <w:rPr>
          <w:i/>
          <w:sz w:val="20"/>
        </w:rPr>
        <w:t>Diseñar y ejecutar programas y proyectos de fortalecimiento de los procesos organizacionales de las comunidades indígenas y Rom.</w:t>
      </w:r>
    </w:p>
    <w:p w14:paraId="78DD8784" w14:textId="77777777" w:rsidR="00F84A9D" w:rsidRPr="00C50D1E" w:rsidRDefault="00F84A9D" w:rsidP="00F84A9D">
      <w:pPr>
        <w:spacing w:line="240" w:lineRule="auto"/>
        <w:ind w:left="993" w:hanging="360"/>
        <w:rPr>
          <w:i/>
          <w:sz w:val="20"/>
        </w:rPr>
      </w:pPr>
      <w:r w:rsidRPr="00C50D1E">
        <w:rPr>
          <w:i/>
          <w:sz w:val="20"/>
        </w:rPr>
        <w:t>9.</w:t>
      </w:r>
      <w:r w:rsidRPr="00C50D1E">
        <w:rPr>
          <w:sz w:val="20"/>
        </w:rPr>
        <w:t xml:space="preserve">   </w:t>
      </w:r>
      <w:r w:rsidRPr="00C50D1E">
        <w:rPr>
          <w:i/>
          <w:sz w:val="20"/>
        </w:rPr>
        <w:t>Promover la resolución de conflictos de conformidad con los usos y costumbres de las comunidades indígenas y Rom.</w:t>
      </w:r>
    </w:p>
    <w:p w14:paraId="65A4DB65" w14:textId="77777777" w:rsidR="00F84A9D" w:rsidRPr="00C50D1E" w:rsidRDefault="00F84A9D" w:rsidP="00F84A9D">
      <w:pPr>
        <w:spacing w:line="240" w:lineRule="auto"/>
        <w:ind w:left="993" w:hanging="360"/>
        <w:rPr>
          <w:i/>
          <w:sz w:val="20"/>
        </w:rPr>
      </w:pPr>
      <w:r w:rsidRPr="00C50D1E">
        <w:rPr>
          <w:i/>
          <w:sz w:val="20"/>
        </w:rPr>
        <w:t>10.Promover acciones con enfoque diferencial, orientadas a atender la concertación, diálogo político, coordinación interinstitucional, participación, representación política y registro de la población indígena y Rom, y la formulación de acciones conjuntas.</w:t>
      </w:r>
    </w:p>
    <w:p w14:paraId="0081A90E" w14:textId="77777777" w:rsidR="00F84A9D" w:rsidRPr="00C50D1E" w:rsidRDefault="00F84A9D" w:rsidP="00F84A9D">
      <w:pPr>
        <w:spacing w:line="240" w:lineRule="auto"/>
        <w:ind w:left="993" w:hanging="360"/>
        <w:rPr>
          <w:i/>
          <w:sz w:val="20"/>
        </w:rPr>
      </w:pPr>
      <w:r w:rsidRPr="00C50D1E">
        <w:rPr>
          <w:i/>
          <w:sz w:val="20"/>
        </w:rPr>
        <w:t>11.Prestar asesoría a las gobernaciones y alcaldías municipales para la debida atención en materia de concertación, diálogo político, coordinación interinstitucional, participación, representación política y registro de las comunidades indígenas, al pueblo Rom.</w:t>
      </w:r>
    </w:p>
    <w:p w14:paraId="093F3F21" w14:textId="77777777" w:rsidR="00F84A9D" w:rsidRPr="00C50D1E" w:rsidRDefault="00F84A9D" w:rsidP="00F84A9D">
      <w:pPr>
        <w:spacing w:line="240" w:lineRule="auto"/>
        <w:ind w:left="993" w:hanging="360"/>
        <w:rPr>
          <w:i/>
          <w:sz w:val="20"/>
        </w:rPr>
      </w:pPr>
      <w:r w:rsidRPr="00C50D1E">
        <w:rPr>
          <w:i/>
          <w:sz w:val="20"/>
        </w:rPr>
        <w:lastRenderedPageBreak/>
        <w:t>12.Promover en coordinación con el Sistema Nacional Ambiental la formulación de agendas ambientales conjuntas con las comunidades indígenas y Rom.</w:t>
      </w:r>
    </w:p>
    <w:p w14:paraId="5A657B94" w14:textId="77777777" w:rsidR="00F84A9D" w:rsidRPr="00C50D1E" w:rsidRDefault="00F84A9D" w:rsidP="00F84A9D">
      <w:pPr>
        <w:spacing w:line="240" w:lineRule="auto"/>
        <w:ind w:left="993" w:hanging="360"/>
        <w:rPr>
          <w:i/>
          <w:sz w:val="20"/>
        </w:rPr>
      </w:pPr>
      <w:r w:rsidRPr="00C50D1E">
        <w:rPr>
          <w:i/>
          <w:sz w:val="20"/>
        </w:rPr>
        <w:t>13.Proponer proyectos de ley o de actos legislativos, así como efectuar el análisis normativo y jurisprudencial en coordinación con la Dirección de Asuntos Legislativos, en las materias de su competencia.</w:t>
      </w:r>
    </w:p>
    <w:p w14:paraId="0242B0A7" w14:textId="77777777" w:rsidR="00F84A9D" w:rsidRPr="00C50D1E" w:rsidRDefault="00F84A9D" w:rsidP="00F84A9D">
      <w:pPr>
        <w:spacing w:line="240" w:lineRule="auto"/>
        <w:ind w:left="993" w:hanging="360"/>
        <w:rPr>
          <w:i/>
          <w:sz w:val="20"/>
        </w:rPr>
      </w:pPr>
      <w:r w:rsidRPr="00C50D1E">
        <w:rPr>
          <w:i/>
          <w:sz w:val="20"/>
        </w:rPr>
        <w:t>14.Apoyar el desarrollo y sostenimiento del Sistema Integrado de Gestión Institucional y la observancia de sus recomendaciones en el ámbito de su competencia.</w:t>
      </w:r>
    </w:p>
    <w:p w14:paraId="537FA439" w14:textId="77777777" w:rsidR="00F84A9D" w:rsidRPr="00C50D1E" w:rsidRDefault="00F84A9D" w:rsidP="00F84A9D">
      <w:pPr>
        <w:spacing w:line="240" w:lineRule="auto"/>
        <w:ind w:left="993" w:hanging="360"/>
        <w:rPr>
          <w:i/>
          <w:sz w:val="20"/>
        </w:rPr>
      </w:pPr>
      <w:r w:rsidRPr="00C50D1E">
        <w:rPr>
          <w:i/>
          <w:sz w:val="20"/>
        </w:rPr>
        <w:t>15.Atender las peticiones y consultas relacionadas con asuntos de su competencia.</w:t>
      </w:r>
    </w:p>
    <w:p w14:paraId="62CC0955" w14:textId="77777777" w:rsidR="00F84A9D" w:rsidRPr="00C50D1E" w:rsidRDefault="00F84A9D" w:rsidP="00F84A9D">
      <w:pPr>
        <w:spacing w:line="240" w:lineRule="auto"/>
        <w:ind w:left="993" w:hanging="360"/>
        <w:rPr>
          <w:sz w:val="20"/>
        </w:rPr>
      </w:pPr>
      <w:r w:rsidRPr="00C50D1E">
        <w:rPr>
          <w:i/>
          <w:sz w:val="20"/>
        </w:rPr>
        <w:t>16.Las demás funciones asignadas que correspondan a la naturaleza de la dependencia. (…)”</w:t>
      </w:r>
      <w:hyperlink w:anchor="_edn16" w:history="1">
        <w:r w:rsidRPr="00C50D1E">
          <w:rPr>
            <w:rStyle w:val="Hipervnculo"/>
            <w:b/>
            <w:i/>
            <w:sz w:val="20"/>
          </w:rPr>
          <w:t>[</w:t>
        </w:r>
        <w:proofErr w:type="spellStart"/>
        <w:r w:rsidRPr="00C50D1E">
          <w:rPr>
            <w:rStyle w:val="Hipervnculo"/>
            <w:b/>
            <w:i/>
            <w:sz w:val="20"/>
          </w:rPr>
          <w:t>xvi</w:t>
        </w:r>
        <w:proofErr w:type="spellEnd"/>
        <w:r w:rsidRPr="00C50D1E">
          <w:rPr>
            <w:rStyle w:val="Hipervnculo"/>
            <w:b/>
            <w:i/>
            <w:sz w:val="20"/>
          </w:rPr>
          <w:t>]</w:t>
        </w:r>
      </w:hyperlink>
    </w:p>
    <w:p w14:paraId="488EDE91" w14:textId="77777777" w:rsidR="00F84A9D" w:rsidRPr="00C50D1E" w:rsidRDefault="00F84A9D" w:rsidP="00F84A9D">
      <w:pPr>
        <w:spacing w:line="240" w:lineRule="auto"/>
      </w:pPr>
      <w:r>
        <w:t>Como puede observarse, en virtud de lo establecido en el Decreto 714 de 2024, la Dirección de Asuntos Indígenas, Rom y Minorías del Ministerio del Interior, no tiene competencia para intervenir en el marco de los hechos narrados por el accionante, toda vez que ello sería transgredir la autonomía que la constitución política y la ley ha reconocido a los pueblos indígenas en territorio colombiano.</w:t>
      </w:r>
    </w:p>
    <w:p w14:paraId="2BFD2E9A" w14:textId="77777777" w:rsidR="00F84A9D" w:rsidRDefault="00F84A9D" w:rsidP="00F84A9D">
      <w:pPr>
        <w:spacing w:line="240" w:lineRule="auto"/>
      </w:pPr>
      <w:r>
        <w:t xml:space="preserve">Por tanto, resulta claro que no existe nexo de causalidad entre la vulneración de los derechos fundamentales invocados por los accionantes y el Ministerio del Interior – Dirección de Asuntos Indígenas, Rom y Minorías, toda vez que resulta claro que no se encuentra en cabeza de esta entidad resolver situaciones de conflictividad </w:t>
      </w:r>
      <w:proofErr w:type="spellStart"/>
      <w:r>
        <w:t>intraétnica</w:t>
      </w:r>
      <w:proofErr w:type="spellEnd"/>
      <w:r>
        <w:t xml:space="preserve">, que para el presente caso sería la situación presentada en el pueblo </w:t>
      </w:r>
      <w:proofErr w:type="spellStart"/>
      <w:r>
        <w:t>arhuaco</w:t>
      </w:r>
      <w:proofErr w:type="spellEnd"/>
      <w:r>
        <w:t xml:space="preserve">. </w:t>
      </w:r>
    </w:p>
    <w:p w14:paraId="2AF1A030" w14:textId="77777777" w:rsidR="00F84A9D" w:rsidRPr="0019049B" w:rsidRDefault="00F84A9D" w:rsidP="00F84A9D">
      <w:pPr>
        <w:spacing w:line="240" w:lineRule="auto"/>
      </w:pPr>
      <w:r>
        <w:t>L</w:t>
      </w:r>
      <w:r w:rsidRPr="0019049B">
        <w:t>as funciones de la Dirección de Asuntos Indígenas, Rom y Minorías del Ministerio del Interior, en el marco del orden constitucional y legal vigente, se circunscriben a tres ámbitos precisos: (i) acompañar y apoyar, cuando así lo soliciten las comunidades, los procesos de diálogo orientados a la resolución de conflictos, bajo los principios de maximización de la autonomía y la aplicación del método de ponderación intercultural; (</w:t>
      </w:r>
      <w:proofErr w:type="spellStart"/>
      <w:r w:rsidRPr="0019049B">
        <w:t>ii</w:t>
      </w:r>
      <w:proofErr w:type="spellEnd"/>
      <w:r w:rsidRPr="0019049B">
        <w:t>) generar y facilitar espacios de encuentro entre los sectores en conflicto, asegurando que tales espacios se desarrollen conforme a sus usos, costumbres y normas de derecho propio; y (</w:t>
      </w:r>
      <w:proofErr w:type="spellStart"/>
      <w:r w:rsidRPr="0019049B">
        <w:t>iii</w:t>
      </w:r>
      <w:proofErr w:type="spellEnd"/>
      <w:r w:rsidRPr="0019049B">
        <w:t>) propender por la protección de los conocimientos tradicionales y la conservación de sus sistemas organizativos, en coordinación con las entidades competentes del Estado.</w:t>
      </w:r>
    </w:p>
    <w:p w14:paraId="129B2DE7" w14:textId="77777777" w:rsidR="00F84A9D" w:rsidRPr="0019049B" w:rsidRDefault="00F84A9D" w:rsidP="00F84A9D">
      <w:pPr>
        <w:spacing w:line="240" w:lineRule="auto"/>
      </w:pPr>
      <w:r w:rsidRPr="0019049B">
        <w:t>De ello se concluye que la intervención del Ministerio del Interior frente a controversias in</w:t>
      </w:r>
      <w:r>
        <w:t>ter</w:t>
      </w:r>
      <w:r w:rsidRPr="0019049B">
        <w:t xml:space="preserve">étnicas es de última ratio, únicamente procedente cuando se </w:t>
      </w:r>
      <w:r w:rsidRPr="0019049B">
        <w:lastRenderedPageBreak/>
        <w:t>haya verificado que las instancias de gobierno propio han agotado sin éxito sus mecanismos internos de resolución. En el presente caso, del escrito de tutela no se evidencia que los accionantes hayan acudido, de manera previa y efectiva, a sus propias autoridades espirituales y políticas para intentar resolver la controversia conforme a la Ley de Origen y a los procedimientos tradicionales establecidos para estos fines.</w:t>
      </w:r>
    </w:p>
    <w:p w14:paraId="663CAFF0" w14:textId="77777777" w:rsidR="00F84A9D" w:rsidRPr="0019049B" w:rsidRDefault="00F84A9D" w:rsidP="00F84A9D">
      <w:pPr>
        <w:spacing w:line="240" w:lineRule="auto"/>
      </w:pPr>
      <w:r w:rsidRPr="0019049B">
        <w:t xml:space="preserve">Así las cosas, el Ministerio del Interior no realizó ningún acto lesivo ni produjo efectos jurídicos determinantes sobre la situación que origina la inconformidad del accionante. Por el contrario, la entidad se limitó a cumplir estrictamente lo dispuesto por la Corte Constitucional en la Sentencia SU-419 de 2024, que estableció de manera expresa que el conflicto interno del pueblo </w:t>
      </w:r>
      <w:proofErr w:type="spellStart"/>
      <w:r w:rsidRPr="0019049B">
        <w:t>Arhuaco</w:t>
      </w:r>
      <w:proofErr w:type="spellEnd"/>
      <w:r w:rsidRPr="0019049B">
        <w:t xml:space="preserve"> debe ser resuelto por sus propias autoridades espirituales, sin injerencia de terceros internos o externos, y que el rol estatal se restringe a facilitar condiciones materiales y logísticas para el diálogo, pero nunca a intervenir, validar o decidir asuntos propios del derecho mayor o derecho propio indígena.</w:t>
      </w:r>
    </w:p>
    <w:p w14:paraId="41366CCB" w14:textId="77777777" w:rsidR="00F84A9D" w:rsidRDefault="00F84A9D" w:rsidP="00F84A9D">
      <w:pPr>
        <w:spacing w:line="240" w:lineRule="auto"/>
      </w:pPr>
      <w:r w:rsidRPr="0019049B">
        <w:t>En consecuencia, ningún acto imputable al Ministerio del Interior constituye vulneración o amenaza de derechos fundamentales del accionante. Por esta razón, y al no existir nexo causal entre la actuación de la entidad y la supuesta afectación alegada, el Ministerio carece de legitimación en la causa por pasiva para ser vinculado a la presente acción de tutela.</w:t>
      </w:r>
    </w:p>
    <w:p w14:paraId="5FF88315" w14:textId="77777777" w:rsidR="00F84A9D" w:rsidRDefault="00F84A9D" w:rsidP="00F84A9D">
      <w:pPr>
        <w:spacing w:after="0" w:line="240" w:lineRule="auto"/>
        <w:rPr>
          <w:shd w:val="clear" w:color="auto" w:fill="FFFFFF"/>
        </w:rPr>
      </w:pPr>
    </w:p>
    <w:p w14:paraId="5BC9A693" w14:textId="77777777" w:rsidR="00F84A9D" w:rsidRPr="00D913C2" w:rsidRDefault="00F84A9D" w:rsidP="00F84A9D">
      <w:pPr>
        <w:pStyle w:val="Prrafodelista"/>
        <w:numPr>
          <w:ilvl w:val="1"/>
          <w:numId w:val="7"/>
        </w:numPr>
        <w:spacing w:after="0" w:line="240" w:lineRule="auto"/>
        <w:rPr>
          <w:b/>
          <w:bCs/>
          <w:i/>
          <w:iCs/>
          <w:shd w:val="clear" w:color="auto" w:fill="FFFFFF"/>
        </w:rPr>
      </w:pPr>
      <w:r w:rsidRPr="00D913C2">
        <w:rPr>
          <w:b/>
          <w:bCs/>
          <w:i/>
          <w:iCs/>
        </w:rPr>
        <w:t>RESPETO ESTRICTO DEL PRINCIPIO DE ACCIÓN SIN DAÑO PREVISTO EN LA SENTENCIA SU-419 DE 2024</w:t>
      </w:r>
    </w:p>
    <w:p w14:paraId="62084F75" w14:textId="77777777" w:rsidR="00F84A9D" w:rsidRDefault="00F84A9D" w:rsidP="00F84A9D">
      <w:pPr>
        <w:spacing w:after="0" w:line="240" w:lineRule="auto"/>
        <w:rPr>
          <w:b/>
          <w:shd w:val="clear" w:color="auto" w:fill="FFFFFF"/>
        </w:rPr>
      </w:pPr>
      <w:r>
        <w:rPr>
          <w:b/>
          <w:shd w:val="clear" w:color="auto" w:fill="FFFFFF"/>
        </w:rPr>
        <w:t xml:space="preserve"> </w:t>
      </w:r>
    </w:p>
    <w:p w14:paraId="73DD3795" w14:textId="77777777" w:rsidR="00F84A9D" w:rsidRDefault="00F84A9D" w:rsidP="00F84A9D">
      <w:pPr>
        <w:spacing w:after="0" w:line="240" w:lineRule="auto"/>
        <w:rPr>
          <w:b/>
          <w:shd w:val="clear" w:color="auto" w:fill="FFFFFF"/>
        </w:rPr>
      </w:pPr>
    </w:p>
    <w:p w14:paraId="08AA478B" w14:textId="77777777" w:rsidR="00F84A9D" w:rsidRDefault="00F84A9D" w:rsidP="00F84A9D">
      <w:pPr>
        <w:spacing w:after="0" w:line="240" w:lineRule="auto"/>
        <w:rPr>
          <w:bCs/>
          <w:shd w:val="clear" w:color="auto" w:fill="FFFFFF"/>
        </w:rPr>
      </w:pPr>
      <w:r>
        <w:rPr>
          <w:bCs/>
          <w:shd w:val="clear" w:color="auto" w:fill="FFFFFF"/>
        </w:rPr>
        <w:t>D</w:t>
      </w:r>
      <w:r w:rsidRPr="00D913C2">
        <w:rPr>
          <w:bCs/>
          <w:shd w:val="clear" w:color="auto" w:fill="FFFFFF"/>
        </w:rPr>
        <w:t xml:space="preserve">ebe destacarse que el Ministerio del Interior actuó en estricto cumplimiento del principio de Acción sin Daño, desarrollado de manera explícita por la Corte Constitucional en la Sentencia SU-419 de 2024. </w:t>
      </w:r>
    </w:p>
    <w:p w14:paraId="07874F14" w14:textId="77777777" w:rsidR="00F84A9D" w:rsidRDefault="00F84A9D" w:rsidP="00F84A9D">
      <w:pPr>
        <w:spacing w:after="0" w:line="240" w:lineRule="auto"/>
        <w:rPr>
          <w:bCs/>
          <w:shd w:val="clear" w:color="auto" w:fill="FFFFFF"/>
        </w:rPr>
      </w:pPr>
    </w:p>
    <w:p w14:paraId="08BA4415" w14:textId="4CA36CAF" w:rsidR="000210F7" w:rsidRDefault="00F84A9D" w:rsidP="00F84A9D">
      <w:pPr>
        <w:spacing w:after="0" w:line="240" w:lineRule="auto"/>
      </w:pPr>
      <w:r w:rsidRPr="00D913C2">
        <w:rPr>
          <w:bCs/>
          <w:shd w:val="clear" w:color="auto" w:fill="FFFFFF"/>
        </w:rPr>
        <w:t xml:space="preserve">Conforme a este estándar, las entidades estatales tienen la obligación de abstenerse de adoptar decisiones que profundicen conflictos internos, afecten la armonía espiritual o generen impactos adversos en la cohesión de los pueblos indígenas. La decisión de revocar el registro transitorio mediante la Resolución 1894 de 2025 respondió precisamente a la necesidad de evitar mayores tensiones, toda vez que persistían desacuerdos sustanciales entre sectores del pueblo </w:t>
      </w:r>
      <w:proofErr w:type="spellStart"/>
      <w:r w:rsidRPr="00D913C2">
        <w:rPr>
          <w:bCs/>
          <w:shd w:val="clear" w:color="auto" w:fill="FFFFFF"/>
        </w:rPr>
        <w:t>Arhuaco</w:t>
      </w:r>
      <w:proofErr w:type="spellEnd"/>
      <w:r w:rsidRPr="00D913C2">
        <w:rPr>
          <w:bCs/>
          <w:shd w:val="clear" w:color="auto" w:fill="FFFFFF"/>
        </w:rPr>
        <w:t xml:space="preserve"> que impedían consolidar una representación legítimamente consensuada. El Ministerio mantuvo en todo momento una postura de neutralidad, prudencia y no injerencia, respetando la jurisdicción especial indígena y los espacios autónomos del pueblo </w:t>
      </w:r>
      <w:proofErr w:type="spellStart"/>
      <w:r w:rsidRPr="00D913C2">
        <w:rPr>
          <w:bCs/>
          <w:shd w:val="clear" w:color="auto" w:fill="FFFFFF"/>
        </w:rPr>
        <w:t>Iku</w:t>
      </w:r>
      <w:proofErr w:type="spellEnd"/>
      <w:r w:rsidRPr="00D913C2">
        <w:rPr>
          <w:bCs/>
          <w:shd w:val="clear" w:color="auto" w:fill="FFFFFF"/>
        </w:rPr>
        <w:t xml:space="preserve">. Esta actuación se ajusta </w:t>
      </w:r>
      <w:r w:rsidRPr="00D913C2">
        <w:rPr>
          <w:bCs/>
          <w:shd w:val="clear" w:color="auto" w:fill="FFFFFF"/>
        </w:rPr>
        <w:lastRenderedPageBreak/>
        <w:t>plenamente al marco constitucional y jurisprudencial, y evidencia que no se produjo vulneración alguna atribuible a la entidad accionada</w:t>
      </w:r>
      <w:r w:rsidR="004F38FF" w:rsidRPr="0050757C">
        <w:t>.</w:t>
      </w:r>
    </w:p>
    <w:p w14:paraId="348D545C" w14:textId="77777777" w:rsidR="00F84A9D" w:rsidRPr="00F84A9D" w:rsidRDefault="00F84A9D" w:rsidP="00F84A9D">
      <w:pPr>
        <w:spacing w:after="0" w:line="240" w:lineRule="auto"/>
        <w:rPr>
          <w:bCs/>
          <w:shd w:val="clear" w:color="auto" w:fill="FFFFFF"/>
        </w:rPr>
      </w:pPr>
    </w:p>
    <w:p w14:paraId="6CD29498" w14:textId="2E08A955" w:rsidR="000210F7" w:rsidRPr="0050757C" w:rsidRDefault="004F38FF">
      <w:pPr>
        <w:spacing w:after="526"/>
        <w:ind w:left="-5"/>
      </w:pPr>
      <w:r w:rsidRPr="0050757C">
        <w:t xml:space="preserve">En este orden de ideas, se advierte que el Ministerio del Interior, a través de del despacho del </w:t>
      </w:r>
      <w:proofErr w:type="spellStart"/>
      <w:r w:rsidRPr="0050757C">
        <w:t>Viceministrio</w:t>
      </w:r>
      <w:proofErr w:type="spellEnd"/>
      <w:r w:rsidRPr="0050757C">
        <w:t xml:space="preserve"> para el Dialogo Social y los Derechos Humanos, emitió contestación clara, precisa y congruente a la solicitud del señor </w:t>
      </w:r>
      <w:r w:rsidR="00F84A9D" w:rsidRPr="00F84A9D">
        <w:t>BRAULIO ARQUÍMEDES YAMPUEZAN ANAMA</w:t>
      </w:r>
      <w:r w:rsidRPr="0050757C">
        <w:t>, comunicándosela en debida forma.</w:t>
      </w:r>
    </w:p>
    <w:p w14:paraId="659B898C" w14:textId="77777777" w:rsidR="000210F7" w:rsidRPr="0050757C" w:rsidRDefault="004F38FF">
      <w:pPr>
        <w:pStyle w:val="Ttulo1"/>
        <w:numPr>
          <w:ilvl w:val="0"/>
          <w:numId w:val="0"/>
        </w:numPr>
        <w:spacing w:after="508"/>
        <w:ind w:left="1451" w:right="563"/>
      </w:pPr>
      <w:r w:rsidRPr="0050757C">
        <w:t>V.PETICIONES</w:t>
      </w:r>
    </w:p>
    <w:p w14:paraId="1AF8A34B" w14:textId="7A6F5EF8" w:rsidR="000210F7" w:rsidRPr="0050757C" w:rsidRDefault="004F38FF">
      <w:pPr>
        <w:spacing w:after="331"/>
        <w:ind w:left="-5"/>
      </w:pPr>
      <w:r w:rsidRPr="0050757C">
        <w:t>En atención a los argumentos de defensa puestos en conocimiento de su despacho, se solicita respetuosamente lo siguiente:</w:t>
      </w:r>
    </w:p>
    <w:p w14:paraId="4F9D2925" w14:textId="4B6E3C70" w:rsidR="000210F7" w:rsidRPr="0050757C" w:rsidRDefault="004F38FF">
      <w:pPr>
        <w:ind w:left="-5"/>
      </w:pPr>
      <w:r w:rsidRPr="0050757C">
        <w:rPr>
          <w:b/>
        </w:rPr>
        <w:t>PRIMERO:</w:t>
      </w:r>
      <w:r w:rsidRPr="0050757C">
        <w:t xml:space="preserve"> </w:t>
      </w:r>
      <w:r w:rsidR="00F84A9D" w:rsidRPr="00F84A9D">
        <w:t>. Que se declare probadas las excepciones alegadas por esta entidad, en particular: la falta de legitimación material en la causa por pasiva, la inexistencia de acto u omisión atribuible al Ministerio del Interior que pueda constituir la causa del daño alegado, lo que configura incompetencia funcional frente a las pretensiones del actor por la existencia de una conflictividad interna</w:t>
      </w:r>
      <w:r w:rsidRPr="0050757C">
        <w:t>.</w:t>
      </w:r>
    </w:p>
    <w:p w14:paraId="5B40536C" w14:textId="4F4720AF" w:rsidR="000210F7" w:rsidRDefault="004F38FF">
      <w:pPr>
        <w:spacing w:after="291"/>
        <w:ind w:left="-5"/>
      </w:pPr>
      <w:r w:rsidRPr="0050757C">
        <w:rPr>
          <w:b/>
        </w:rPr>
        <w:t xml:space="preserve">SEGUNDA: </w:t>
      </w:r>
      <w:r w:rsidR="00F84A9D" w:rsidRPr="00F84A9D">
        <w:t>En consecuencia, se ordene la desvinculación inmediata de</w:t>
      </w:r>
      <w:r w:rsidR="00F84A9D">
        <w:t>l</w:t>
      </w:r>
      <w:r w:rsidR="00F84A9D" w:rsidRPr="00F84A9D">
        <w:t xml:space="preserve"> Ministerio del Interior del presente trámite de tutela, por no ostentar legitimación alguna para permanecer vinculada dentro del proceso</w:t>
      </w:r>
      <w:r w:rsidRPr="0050757C">
        <w:t>.</w:t>
      </w:r>
    </w:p>
    <w:p w14:paraId="6639DF72" w14:textId="77777777" w:rsidR="00F84A9D" w:rsidRDefault="00F84A9D" w:rsidP="00F84A9D">
      <w:pPr>
        <w:spacing w:after="0" w:line="240" w:lineRule="auto"/>
        <w:rPr>
          <w:b/>
        </w:rPr>
      </w:pPr>
      <w:r w:rsidRPr="003C3980">
        <w:rPr>
          <w:b/>
          <w:bCs/>
        </w:rPr>
        <w:t>TERCERO.</w:t>
      </w:r>
      <w:r w:rsidRPr="00305FD3">
        <w:t xml:space="preserve"> Que, de manera subsidiaria, se declare la improcedencia de la acción de tutela por las razones expuestas, y en todo caso se nieguen por infundadas las pretensiones del accionante, al no haberse acreditado vulneración alguna atribuible a esta entidad.</w:t>
      </w:r>
      <w:r>
        <w:rPr>
          <w:b/>
        </w:rPr>
        <w:t xml:space="preserve"> </w:t>
      </w:r>
    </w:p>
    <w:p w14:paraId="76BDB0F0" w14:textId="77777777" w:rsidR="00F84A9D" w:rsidRPr="0050757C" w:rsidRDefault="00F84A9D">
      <w:pPr>
        <w:spacing w:after="291"/>
        <w:ind w:left="-5"/>
      </w:pPr>
    </w:p>
    <w:p w14:paraId="4DCD2E0D" w14:textId="77777777" w:rsidR="000210F7" w:rsidRPr="0050757C" w:rsidRDefault="004F38FF">
      <w:pPr>
        <w:pStyle w:val="Ttulo1"/>
        <w:numPr>
          <w:ilvl w:val="0"/>
          <w:numId w:val="0"/>
        </w:numPr>
        <w:ind w:left="1451" w:right="564"/>
      </w:pPr>
      <w:r w:rsidRPr="0050757C">
        <w:t>VI.ANEXOS Y PRUEBAS</w:t>
      </w:r>
    </w:p>
    <w:p w14:paraId="536C7E11" w14:textId="77777777" w:rsidR="000210F7" w:rsidRPr="0050757C" w:rsidRDefault="004F38FF">
      <w:pPr>
        <w:ind w:left="348"/>
      </w:pPr>
      <w:r w:rsidRPr="0050757C">
        <w:t>Se acompaña la presente copia de los siguientes documentos:</w:t>
      </w:r>
    </w:p>
    <w:p w14:paraId="042D27BF" w14:textId="77777777" w:rsidR="000210F7" w:rsidRPr="0050757C" w:rsidRDefault="004F38FF">
      <w:pPr>
        <w:spacing w:after="257"/>
        <w:ind w:left="835" w:hanging="314"/>
      </w:pPr>
      <w:r w:rsidRPr="0050757C">
        <w:rPr>
          <w:b/>
        </w:rPr>
        <w:t>1.</w:t>
      </w:r>
      <w:r w:rsidRPr="0050757C">
        <w:t>Resolución No. 1289 del 02 de septiembre de 2025 “</w:t>
      </w:r>
      <w:r w:rsidRPr="0050757C">
        <w:rPr>
          <w:i/>
        </w:rPr>
        <w:t>Por la cual se efectúa un nombramiento ordinario de planta de personal del Ministerio del Interior y se termina un encargo</w:t>
      </w:r>
      <w:r w:rsidRPr="0050757C">
        <w:t>.” (</w:t>
      </w:r>
      <w:r w:rsidRPr="0050757C">
        <w:rPr>
          <w:b/>
        </w:rPr>
        <w:t>2 folios</w:t>
      </w:r>
      <w:r w:rsidRPr="0050757C">
        <w:t>).</w:t>
      </w:r>
    </w:p>
    <w:p w14:paraId="535A8E7F" w14:textId="77777777" w:rsidR="000210F7" w:rsidRPr="0050757C" w:rsidRDefault="004F38FF">
      <w:pPr>
        <w:numPr>
          <w:ilvl w:val="0"/>
          <w:numId w:val="2"/>
        </w:numPr>
        <w:spacing w:after="257"/>
        <w:ind w:hanging="364"/>
      </w:pPr>
      <w:r w:rsidRPr="0050757C">
        <w:t>Decreto No. 714 del 5 de junio de 2024 “</w:t>
      </w:r>
      <w:r w:rsidRPr="0050757C">
        <w:rPr>
          <w:i/>
        </w:rPr>
        <w:t>Por el cual se modifica la estructura y funciones del Ministerio del Interior.</w:t>
      </w:r>
      <w:r w:rsidRPr="0050757C">
        <w:t xml:space="preserve"> (</w:t>
      </w:r>
      <w:r w:rsidRPr="0050757C">
        <w:rPr>
          <w:b/>
        </w:rPr>
        <w:t>13 folios</w:t>
      </w:r>
      <w:r w:rsidRPr="0050757C">
        <w:t>).</w:t>
      </w:r>
    </w:p>
    <w:p w14:paraId="6E7A8B92" w14:textId="77777777" w:rsidR="000210F7" w:rsidRPr="0050757C" w:rsidRDefault="004F38FF">
      <w:pPr>
        <w:pStyle w:val="Ttulo1"/>
        <w:ind w:left="2210" w:right="562" w:hanging="769"/>
      </w:pPr>
      <w:r w:rsidRPr="0050757C">
        <w:lastRenderedPageBreak/>
        <w:t>NOTIFICACIONES</w:t>
      </w:r>
    </w:p>
    <w:p w14:paraId="6E4958E5" w14:textId="77777777" w:rsidR="000210F7" w:rsidRPr="0050757C" w:rsidRDefault="004F38FF">
      <w:pPr>
        <w:spacing w:after="529"/>
        <w:ind w:left="270"/>
      </w:pPr>
      <w:r w:rsidRPr="0050757C">
        <w:t xml:space="preserve">Para efectos de notificaciones, se recibirán en la Oficina de Correspondencia ubicada en la Calle 12 B No. 8-46 de Bogotá D.C., o al buzón electrónico previsto para ello en los términos del artículo 197 de la Ley 1437 de 2011: </w:t>
      </w:r>
      <w:r w:rsidRPr="0050757C">
        <w:rPr>
          <w:color w:val="0463C1"/>
        </w:rPr>
        <w:t>notificacionesjudiciales@mininterior.gov.co.</w:t>
      </w:r>
    </w:p>
    <w:tbl>
      <w:tblPr>
        <w:tblStyle w:val="TableGrid"/>
        <w:tblW w:w="7371" w:type="dxa"/>
        <w:tblInd w:w="-1" w:type="dxa"/>
        <w:tblCellMar>
          <w:top w:w="51" w:type="dxa"/>
          <w:left w:w="115" w:type="dxa"/>
          <w:right w:w="8" w:type="dxa"/>
        </w:tblCellMar>
        <w:tblLook w:val="04A0" w:firstRow="1" w:lastRow="0" w:firstColumn="1" w:lastColumn="0" w:noHBand="0" w:noVBand="1"/>
      </w:tblPr>
      <w:tblGrid>
        <w:gridCol w:w="2127"/>
        <w:gridCol w:w="5244"/>
      </w:tblGrid>
      <w:tr w:rsidR="00F84A9D" w:rsidRPr="0050757C" w14:paraId="7BB254F7" w14:textId="77777777" w:rsidTr="00481FED">
        <w:trPr>
          <w:trHeight w:val="393"/>
        </w:trPr>
        <w:tc>
          <w:tcPr>
            <w:tcW w:w="2127" w:type="dxa"/>
            <w:tcBorders>
              <w:top w:val="single" w:sz="6" w:space="0" w:color="000000"/>
              <w:left w:val="single" w:sz="6" w:space="0" w:color="000000"/>
              <w:bottom w:val="single" w:sz="6" w:space="0" w:color="000000"/>
              <w:right w:val="single" w:sz="6" w:space="0" w:color="000000"/>
            </w:tcBorders>
          </w:tcPr>
          <w:p w14:paraId="37478963" w14:textId="77777777" w:rsidR="00F84A9D" w:rsidRPr="0050757C" w:rsidRDefault="00F84A9D" w:rsidP="00481FED">
            <w:pPr>
              <w:spacing w:after="0" w:line="259" w:lineRule="auto"/>
              <w:ind w:left="0" w:firstLine="0"/>
              <w:jc w:val="left"/>
            </w:pPr>
            <w:r w:rsidRPr="0050757C">
              <w:rPr>
                <w:b/>
                <w:sz w:val="18"/>
              </w:rPr>
              <w:t>ACCIONANTE:</w:t>
            </w:r>
          </w:p>
        </w:tc>
        <w:tc>
          <w:tcPr>
            <w:tcW w:w="5244" w:type="dxa"/>
            <w:tcBorders>
              <w:top w:val="single" w:sz="6" w:space="0" w:color="000000"/>
              <w:left w:val="single" w:sz="6" w:space="0" w:color="000000"/>
              <w:bottom w:val="single" w:sz="6" w:space="0" w:color="000000"/>
              <w:right w:val="single" w:sz="6" w:space="0" w:color="000000"/>
            </w:tcBorders>
          </w:tcPr>
          <w:p w14:paraId="4E6E61FF" w14:textId="77777777" w:rsidR="00F84A9D" w:rsidRPr="0050757C" w:rsidRDefault="00F84A9D" w:rsidP="00481FED">
            <w:pPr>
              <w:spacing w:after="0" w:line="259" w:lineRule="auto"/>
              <w:ind w:left="0" w:firstLine="0"/>
              <w:jc w:val="left"/>
            </w:pPr>
            <w:r w:rsidRPr="00F375DB">
              <w:rPr>
                <w:sz w:val="18"/>
              </w:rPr>
              <w:t>BRAULIO ARQUIMEDES YAMPUEZAN</w:t>
            </w:r>
          </w:p>
        </w:tc>
      </w:tr>
      <w:tr w:rsidR="00F84A9D" w:rsidRPr="0050757C" w14:paraId="6A932300" w14:textId="77777777" w:rsidTr="00481FED">
        <w:trPr>
          <w:trHeight w:val="381"/>
        </w:trPr>
        <w:tc>
          <w:tcPr>
            <w:tcW w:w="2127" w:type="dxa"/>
            <w:tcBorders>
              <w:top w:val="single" w:sz="6" w:space="0" w:color="000000"/>
              <w:left w:val="single" w:sz="6" w:space="0" w:color="000000"/>
              <w:bottom w:val="single" w:sz="6" w:space="0" w:color="000000"/>
              <w:right w:val="single" w:sz="6" w:space="0" w:color="000000"/>
            </w:tcBorders>
          </w:tcPr>
          <w:p w14:paraId="03728610" w14:textId="77777777" w:rsidR="00F84A9D" w:rsidRPr="0050757C" w:rsidRDefault="00F84A9D" w:rsidP="00481FED">
            <w:pPr>
              <w:spacing w:after="0" w:line="259" w:lineRule="auto"/>
              <w:ind w:left="0" w:firstLine="0"/>
              <w:jc w:val="left"/>
            </w:pPr>
            <w:r w:rsidRPr="0050757C">
              <w:rPr>
                <w:b/>
                <w:sz w:val="18"/>
              </w:rPr>
              <w:t>ACCIONAD</w:t>
            </w:r>
            <w:r>
              <w:rPr>
                <w:b/>
                <w:sz w:val="18"/>
              </w:rPr>
              <w:t>O</w:t>
            </w:r>
            <w:r w:rsidRPr="0050757C">
              <w:rPr>
                <w:b/>
                <w:sz w:val="18"/>
              </w:rPr>
              <w:t>:</w:t>
            </w:r>
          </w:p>
        </w:tc>
        <w:tc>
          <w:tcPr>
            <w:tcW w:w="5244" w:type="dxa"/>
            <w:tcBorders>
              <w:top w:val="single" w:sz="6" w:space="0" w:color="000000"/>
              <w:left w:val="single" w:sz="6" w:space="0" w:color="000000"/>
              <w:bottom w:val="single" w:sz="6" w:space="0" w:color="000000"/>
              <w:right w:val="single" w:sz="6" w:space="0" w:color="000000"/>
            </w:tcBorders>
          </w:tcPr>
          <w:p w14:paraId="5B8DD0E1" w14:textId="77777777" w:rsidR="00F84A9D" w:rsidRPr="0050757C" w:rsidRDefault="00F84A9D" w:rsidP="00481FED">
            <w:pPr>
              <w:spacing w:after="0" w:line="259" w:lineRule="auto"/>
              <w:ind w:left="0" w:firstLine="0"/>
            </w:pPr>
            <w:r w:rsidRPr="0050757C">
              <w:rPr>
                <w:sz w:val="18"/>
              </w:rPr>
              <w:t>MINISTERIO DEL INTERIOR</w:t>
            </w:r>
          </w:p>
        </w:tc>
      </w:tr>
      <w:tr w:rsidR="00F84A9D" w:rsidRPr="0050757C" w14:paraId="38EE7758" w14:textId="77777777" w:rsidTr="00481FED">
        <w:trPr>
          <w:trHeight w:val="393"/>
        </w:trPr>
        <w:tc>
          <w:tcPr>
            <w:tcW w:w="2127" w:type="dxa"/>
            <w:tcBorders>
              <w:top w:val="single" w:sz="6" w:space="0" w:color="000000"/>
              <w:left w:val="single" w:sz="6" w:space="0" w:color="000000"/>
              <w:bottom w:val="single" w:sz="6" w:space="0" w:color="000000"/>
              <w:right w:val="single" w:sz="6" w:space="0" w:color="000000"/>
            </w:tcBorders>
          </w:tcPr>
          <w:p w14:paraId="29B299FB" w14:textId="77777777" w:rsidR="00F84A9D" w:rsidRPr="0050757C" w:rsidRDefault="00F84A9D" w:rsidP="00481FED">
            <w:pPr>
              <w:spacing w:after="0" w:line="259" w:lineRule="auto"/>
              <w:ind w:left="0" w:firstLine="0"/>
              <w:jc w:val="left"/>
            </w:pPr>
            <w:r w:rsidRPr="0050757C">
              <w:rPr>
                <w:b/>
                <w:sz w:val="18"/>
              </w:rPr>
              <w:t>RADICADO:</w:t>
            </w:r>
          </w:p>
        </w:tc>
        <w:tc>
          <w:tcPr>
            <w:tcW w:w="5244" w:type="dxa"/>
            <w:tcBorders>
              <w:top w:val="single" w:sz="6" w:space="0" w:color="000000"/>
              <w:left w:val="single" w:sz="6" w:space="0" w:color="000000"/>
              <w:bottom w:val="single" w:sz="6" w:space="0" w:color="000000"/>
              <w:right w:val="single" w:sz="6" w:space="0" w:color="000000"/>
            </w:tcBorders>
          </w:tcPr>
          <w:p w14:paraId="43CA0A00" w14:textId="77777777" w:rsidR="00F84A9D" w:rsidRPr="0050757C" w:rsidRDefault="00F84A9D" w:rsidP="00481FED">
            <w:pPr>
              <w:spacing w:after="0" w:line="259" w:lineRule="auto"/>
              <w:ind w:left="0" w:firstLine="0"/>
              <w:jc w:val="left"/>
            </w:pPr>
            <w:r w:rsidRPr="00F375DB">
              <w:rPr>
                <w:sz w:val="18"/>
              </w:rPr>
              <w:t>526994089001-2026-00017-00</w:t>
            </w:r>
          </w:p>
        </w:tc>
      </w:tr>
      <w:tr w:rsidR="00F84A9D" w:rsidRPr="0050757C" w14:paraId="23E7D2A3" w14:textId="77777777" w:rsidTr="00481FED">
        <w:trPr>
          <w:trHeight w:val="393"/>
        </w:trPr>
        <w:tc>
          <w:tcPr>
            <w:tcW w:w="2127" w:type="dxa"/>
            <w:tcBorders>
              <w:top w:val="single" w:sz="6" w:space="0" w:color="000000"/>
              <w:left w:val="single" w:sz="6" w:space="0" w:color="000000"/>
              <w:bottom w:val="single" w:sz="6" w:space="0" w:color="000000"/>
              <w:right w:val="single" w:sz="6" w:space="0" w:color="000000"/>
            </w:tcBorders>
          </w:tcPr>
          <w:p w14:paraId="2F65408A" w14:textId="77777777" w:rsidR="00F84A9D" w:rsidRPr="0050757C" w:rsidRDefault="00F84A9D" w:rsidP="00481FED">
            <w:pPr>
              <w:spacing w:after="0" w:line="259" w:lineRule="auto"/>
              <w:ind w:left="0" w:firstLine="0"/>
              <w:jc w:val="left"/>
            </w:pPr>
            <w:r w:rsidRPr="0050757C">
              <w:rPr>
                <w:b/>
                <w:sz w:val="18"/>
              </w:rPr>
              <w:t>REFERENCIA:</w:t>
            </w:r>
          </w:p>
        </w:tc>
        <w:tc>
          <w:tcPr>
            <w:tcW w:w="5244" w:type="dxa"/>
            <w:tcBorders>
              <w:top w:val="single" w:sz="6" w:space="0" w:color="000000"/>
              <w:left w:val="single" w:sz="6" w:space="0" w:color="000000"/>
              <w:bottom w:val="single" w:sz="6" w:space="0" w:color="000000"/>
              <w:right w:val="single" w:sz="6" w:space="0" w:color="000000"/>
            </w:tcBorders>
          </w:tcPr>
          <w:p w14:paraId="5A69B23E" w14:textId="77777777" w:rsidR="00F84A9D" w:rsidRPr="0050757C" w:rsidRDefault="00F84A9D" w:rsidP="00481FED">
            <w:pPr>
              <w:spacing w:after="0" w:line="259" w:lineRule="auto"/>
              <w:ind w:left="0" w:firstLine="0"/>
              <w:jc w:val="left"/>
            </w:pPr>
            <w:r w:rsidRPr="0050757C">
              <w:rPr>
                <w:sz w:val="18"/>
              </w:rPr>
              <w:t>TUTELA</w:t>
            </w:r>
          </w:p>
        </w:tc>
      </w:tr>
      <w:tr w:rsidR="00F84A9D" w:rsidRPr="0050757C" w14:paraId="5191C6F9" w14:textId="77777777" w:rsidTr="00481FED">
        <w:trPr>
          <w:trHeight w:val="393"/>
        </w:trPr>
        <w:tc>
          <w:tcPr>
            <w:tcW w:w="2127" w:type="dxa"/>
            <w:tcBorders>
              <w:top w:val="single" w:sz="6" w:space="0" w:color="000000"/>
              <w:left w:val="single" w:sz="6" w:space="0" w:color="000000"/>
              <w:bottom w:val="single" w:sz="6" w:space="0" w:color="000000"/>
              <w:right w:val="single" w:sz="6" w:space="0" w:color="000000"/>
            </w:tcBorders>
          </w:tcPr>
          <w:p w14:paraId="0F887017" w14:textId="77777777" w:rsidR="00F84A9D" w:rsidRPr="0050757C" w:rsidRDefault="00F84A9D" w:rsidP="00481FED">
            <w:pPr>
              <w:spacing w:after="0" w:line="259" w:lineRule="auto"/>
              <w:ind w:left="0" w:firstLine="0"/>
              <w:jc w:val="left"/>
            </w:pPr>
            <w:r w:rsidRPr="0050757C">
              <w:rPr>
                <w:b/>
                <w:sz w:val="18"/>
              </w:rPr>
              <w:t>ASUNTO:</w:t>
            </w:r>
          </w:p>
        </w:tc>
        <w:tc>
          <w:tcPr>
            <w:tcW w:w="5244" w:type="dxa"/>
            <w:tcBorders>
              <w:top w:val="single" w:sz="6" w:space="0" w:color="000000"/>
              <w:left w:val="single" w:sz="6" w:space="0" w:color="000000"/>
              <w:bottom w:val="single" w:sz="6" w:space="0" w:color="000000"/>
              <w:right w:val="single" w:sz="6" w:space="0" w:color="000000"/>
            </w:tcBorders>
          </w:tcPr>
          <w:p w14:paraId="0040D0AA" w14:textId="77777777" w:rsidR="00F84A9D" w:rsidRPr="0050757C" w:rsidRDefault="00F84A9D" w:rsidP="00481FED">
            <w:pPr>
              <w:spacing w:after="0" w:line="259" w:lineRule="auto"/>
              <w:ind w:left="0" w:firstLine="0"/>
              <w:jc w:val="left"/>
            </w:pPr>
            <w:r w:rsidRPr="0050757C">
              <w:rPr>
                <w:sz w:val="18"/>
              </w:rPr>
              <w:t>INFORME DE CONTESTACIÓN</w:t>
            </w:r>
          </w:p>
        </w:tc>
      </w:tr>
    </w:tbl>
    <w:p w14:paraId="77EDC323" w14:textId="77777777" w:rsidR="0050757C" w:rsidRDefault="0050757C">
      <w:pPr>
        <w:spacing w:after="9"/>
        <w:ind w:left="270"/>
      </w:pPr>
    </w:p>
    <w:p w14:paraId="569DEBA4" w14:textId="3679C0FF" w:rsidR="000210F7" w:rsidRDefault="004F38FF">
      <w:pPr>
        <w:spacing w:after="9"/>
        <w:ind w:left="270"/>
      </w:pPr>
      <w:r w:rsidRPr="0050757C">
        <w:t>Cordialmente,</w:t>
      </w:r>
    </w:p>
    <w:p w14:paraId="2C1C6AA0" w14:textId="77777777" w:rsidR="00385D14" w:rsidRDefault="00385D14">
      <w:pPr>
        <w:spacing w:after="9"/>
        <w:ind w:left="270"/>
      </w:pPr>
    </w:p>
    <w:p w14:paraId="1DDAFFEB" w14:textId="77777777" w:rsidR="00385D14" w:rsidRDefault="00385D14">
      <w:pPr>
        <w:spacing w:after="9"/>
        <w:ind w:left="270"/>
      </w:pPr>
    </w:p>
    <w:p w14:paraId="7B3B5055" w14:textId="77777777" w:rsidR="00385D14" w:rsidRDefault="00385D14">
      <w:pPr>
        <w:spacing w:after="9"/>
        <w:ind w:left="270"/>
      </w:pPr>
    </w:p>
    <w:p w14:paraId="0365E453" w14:textId="468FCF4F" w:rsidR="000210F7" w:rsidRPr="0050757C" w:rsidRDefault="000210F7">
      <w:pPr>
        <w:spacing w:after="0" w:line="259" w:lineRule="auto"/>
        <w:ind w:left="0" w:firstLine="0"/>
        <w:jc w:val="left"/>
      </w:pPr>
    </w:p>
    <w:p w14:paraId="76F4ED49" w14:textId="3876D33E" w:rsidR="000210F7" w:rsidRPr="0050757C" w:rsidRDefault="004F38FF">
      <w:pPr>
        <w:spacing w:after="6"/>
        <w:ind w:left="256" w:right="26"/>
        <w:jc w:val="left"/>
      </w:pPr>
      <w:r w:rsidRPr="0050757C">
        <w:rPr>
          <w:b/>
          <w:sz w:val="16"/>
        </w:rPr>
        <w:t>Proyectó</w:t>
      </w:r>
      <w:r w:rsidRPr="0050757C">
        <w:rPr>
          <w:sz w:val="16"/>
        </w:rPr>
        <w:t xml:space="preserve">: </w:t>
      </w:r>
      <w:r w:rsidR="00484F43">
        <w:rPr>
          <w:sz w:val="16"/>
        </w:rPr>
        <w:t>Juan David Cifuentes Suárez</w:t>
      </w:r>
      <w:r w:rsidR="007167AE">
        <w:rPr>
          <w:sz w:val="16"/>
        </w:rPr>
        <w:t>.</w:t>
      </w:r>
      <w:r w:rsidRPr="0050757C">
        <w:rPr>
          <w:sz w:val="16"/>
        </w:rPr>
        <w:t xml:space="preserve"> Apoyo Jurídico - DVD</w:t>
      </w:r>
    </w:p>
    <w:p w14:paraId="0B26C260" w14:textId="41396F4D" w:rsidR="000210F7" w:rsidRDefault="004F38FF" w:rsidP="00F84A9D">
      <w:pPr>
        <w:spacing w:after="6"/>
        <w:ind w:left="256" w:right="26"/>
        <w:jc w:val="left"/>
        <w:rPr>
          <w:b/>
          <w:sz w:val="16"/>
        </w:rPr>
      </w:pPr>
      <w:r w:rsidRPr="0050757C">
        <w:rPr>
          <w:b/>
          <w:sz w:val="16"/>
        </w:rPr>
        <w:t>Revisó</w:t>
      </w:r>
      <w:r w:rsidRPr="0050757C">
        <w:rPr>
          <w:sz w:val="16"/>
        </w:rPr>
        <w:t xml:space="preserve">: </w:t>
      </w:r>
      <w:r w:rsidR="007167AE">
        <w:rPr>
          <w:sz w:val="16"/>
        </w:rPr>
        <w:t xml:space="preserve">Sergio Garzón </w:t>
      </w:r>
      <w:r w:rsidR="007167AE" w:rsidRPr="0050757C">
        <w:rPr>
          <w:sz w:val="16"/>
        </w:rPr>
        <w:t>-</w:t>
      </w:r>
      <w:r w:rsidRPr="0050757C">
        <w:rPr>
          <w:sz w:val="16"/>
        </w:rPr>
        <w:t>Asesor Jurídic</w:t>
      </w:r>
      <w:r w:rsidR="007167AE">
        <w:rPr>
          <w:sz w:val="16"/>
        </w:rPr>
        <w:t>o</w:t>
      </w:r>
      <w:r w:rsidRPr="0050757C">
        <w:rPr>
          <w:sz w:val="16"/>
        </w:rPr>
        <w:t xml:space="preserve"> -DVD</w:t>
      </w:r>
      <w:r w:rsidR="007167AE">
        <w:rPr>
          <w:sz w:val="16"/>
        </w:rPr>
        <w:br/>
      </w:r>
      <w:r w:rsidRPr="0050757C">
        <w:rPr>
          <w:b/>
          <w:sz w:val="16"/>
        </w:rPr>
        <w:t xml:space="preserve">Aprobó: </w:t>
      </w:r>
    </w:p>
    <w:p w14:paraId="536FB9A8" w14:textId="77777777" w:rsidR="00F84A9D" w:rsidRPr="0050757C" w:rsidRDefault="00F84A9D" w:rsidP="00F84A9D">
      <w:pPr>
        <w:spacing w:after="6"/>
        <w:ind w:left="256" w:right="26"/>
        <w:jc w:val="left"/>
      </w:pPr>
    </w:p>
    <w:p w14:paraId="68FB9DC3" w14:textId="77777777" w:rsidR="000210F7" w:rsidRPr="0050757C" w:rsidRDefault="004F38FF">
      <w:pPr>
        <w:spacing w:after="203"/>
        <w:ind w:left="514" w:right="-15" w:hanging="269"/>
        <w:jc w:val="left"/>
      </w:pPr>
      <w:r w:rsidRPr="0050757C">
        <w:rPr>
          <w:color w:val="0463C1"/>
          <w:sz w:val="16"/>
        </w:rPr>
        <w:t>[i]</w:t>
      </w:r>
      <w:r w:rsidRPr="0050757C">
        <w:rPr>
          <w:sz w:val="14"/>
        </w:rPr>
        <w:t xml:space="preserve">Corte constitucional. Sentencia T-117A de 2013. M.P. Mauricio González Cuervo. Consultada el 12 de septiembre de 2025, en: </w:t>
      </w:r>
      <w:hyperlink r:id="rId7">
        <w:r w:rsidRPr="0050757C">
          <w:rPr>
            <w:color w:val="0463C1"/>
            <w:sz w:val="14"/>
          </w:rPr>
          <w:t>https://www.corteconstitucional.gov.co/RELATORIA/2013/T-</w:t>
        </w:r>
      </w:hyperlink>
      <w:hyperlink r:id="rId8">
        <w:r w:rsidRPr="0050757C">
          <w:rPr>
            <w:color w:val="0463C1"/>
            <w:sz w:val="14"/>
          </w:rPr>
          <w:t xml:space="preserve"> </w:t>
        </w:r>
      </w:hyperlink>
      <w:hyperlink r:id="rId9">
        <w:r w:rsidRPr="0050757C">
          <w:rPr>
            <w:color w:val="0463C1"/>
            <w:sz w:val="14"/>
          </w:rPr>
          <w:t>117A-13.htm</w:t>
        </w:r>
      </w:hyperlink>
      <w:hyperlink r:id="rId10">
        <w:r w:rsidRPr="0050757C">
          <w:rPr>
            <w:color w:val="0463C1"/>
            <w:sz w:val="14"/>
          </w:rPr>
          <w:t>.</w:t>
        </w:r>
      </w:hyperlink>
    </w:p>
    <w:p w14:paraId="17E02738" w14:textId="77777777" w:rsidR="000210F7" w:rsidRPr="0050757C" w:rsidRDefault="004F38FF">
      <w:pPr>
        <w:spacing w:after="203"/>
        <w:ind w:left="514" w:right="-15" w:hanging="269"/>
        <w:jc w:val="left"/>
      </w:pPr>
      <w:r w:rsidRPr="0050757C">
        <w:rPr>
          <w:color w:val="0463C1"/>
          <w:sz w:val="16"/>
        </w:rPr>
        <w:t>[</w:t>
      </w:r>
      <w:proofErr w:type="spellStart"/>
      <w:r w:rsidRPr="0050757C">
        <w:rPr>
          <w:color w:val="0463C1"/>
          <w:sz w:val="16"/>
        </w:rPr>
        <w:t>ii</w:t>
      </w:r>
      <w:proofErr w:type="spellEnd"/>
      <w:r w:rsidRPr="0050757C">
        <w:rPr>
          <w:color w:val="0463C1"/>
          <w:sz w:val="16"/>
        </w:rPr>
        <w:t>]</w:t>
      </w:r>
      <w:r w:rsidRPr="0050757C">
        <w:rPr>
          <w:sz w:val="14"/>
        </w:rPr>
        <w:t xml:space="preserve">Corte constitucional. Sentencia T-086 de 2020. M.P. Alejandro Linares Cantillo. Consultada el 12 de septiembre de 2025, en: </w:t>
      </w:r>
      <w:hyperlink r:id="rId11">
        <w:r w:rsidRPr="0050757C">
          <w:rPr>
            <w:color w:val="0463C1"/>
            <w:sz w:val="14"/>
          </w:rPr>
          <w:t>https://www.corteconstitucional.gov.co/relatoria/2020/t-086-</w:t>
        </w:r>
      </w:hyperlink>
      <w:r w:rsidRPr="0050757C">
        <w:rPr>
          <w:color w:val="0463C1"/>
          <w:sz w:val="14"/>
        </w:rPr>
        <w:t xml:space="preserve"> </w:t>
      </w:r>
      <w:hyperlink r:id="rId12">
        <w:r w:rsidRPr="0050757C">
          <w:rPr>
            <w:color w:val="0463C1"/>
            <w:sz w:val="14"/>
          </w:rPr>
          <w:t>20.htm</w:t>
        </w:r>
      </w:hyperlink>
      <w:r w:rsidRPr="0050757C">
        <w:rPr>
          <w:color w:val="0463C1"/>
          <w:sz w:val="14"/>
        </w:rPr>
        <w:t>.</w:t>
      </w:r>
    </w:p>
    <w:p w14:paraId="6C6771A7" w14:textId="731B5B49" w:rsidR="000210F7" w:rsidRDefault="000210F7" w:rsidP="00475E70">
      <w:pPr>
        <w:spacing w:after="0" w:line="253" w:lineRule="auto"/>
        <w:ind w:left="0" w:right="-7" w:firstLine="0"/>
        <w:jc w:val="left"/>
      </w:pPr>
    </w:p>
    <w:p w14:paraId="7B89F7ED" w14:textId="155E7E51" w:rsidR="00F14940" w:rsidRPr="0050757C" w:rsidRDefault="00F14940" w:rsidP="00F14940">
      <w:pPr>
        <w:spacing w:after="0" w:line="253" w:lineRule="auto"/>
        <w:ind w:left="0" w:right="-7" w:firstLine="0"/>
      </w:pPr>
    </w:p>
    <w:sectPr w:rsidR="00F14940" w:rsidRPr="0050757C">
      <w:headerReference w:type="even" r:id="rId13"/>
      <w:headerReference w:type="default" r:id="rId14"/>
      <w:footerReference w:type="even" r:id="rId15"/>
      <w:footerReference w:type="default" r:id="rId16"/>
      <w:headerReference w:type="first" r:id="rId17"/>
      <w:footerReference w:type="first" r:id="rId18"/>
      <w:pgSz w:w="12240" w:h="15840"/>
      <w:pgMar w:top="2984" w:right="1701" w:bottom="1483" w:left="1701" w:header="708"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708BA" w14:textId="77777777" w:rsidR="007B451B" w:rsidRDefault="007B451B">
      <w:pPr>
        <w:spacing w:after="0" w:line="240" w:lineRule="auto"/>
      </w:pPr>
      <w:r>
        <w:separator/>
      </w:r>
    </w:p>
  </w:endnote>
  <w:endnote w:type="continuationSeparator" w:id="0">
    <w:p w14:paraId="47BE779F" w14:textId="77777777" w:rsidR="007B451B" w:rsidRDefault="007B4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222DE" w14:textId="77777777" w:rsidR="000210F7" w:rsidRDefault="004F38FF">
    <w:pPr>
      <w:tabs>
        <w:tab w:val="center" w:pos="4214"/>
        <w:tab w:val="right" w:pos="8838"/>
      </w:tabs>
      <w:spacing w:after="0" w:line="259" w:lineRule="auto"/>
      <w:ind w:left="-185" w:firstLine="0"/>
      <w:jc w:val="left"/>
    </w:pPr>
    <w:r>
      <w:rPr>
        <w:rFonts w:ascii="Times New Roman" w:eastAsia="Times New Roman" w:hAnsi="Times New Roman" w:cs="Times New Roman"/>
        <w:color w:val="365F91"/>
        <w:sz w:val="16"/>
      </w:rPr>
      <w:t xml:space="preserve">Sede Correspondencias </w:t>
    </w:r>
    <w:r>
      <w:rPr>
        <w:rFonts w:ascii="Times New Roman" w:eastAsia="Times New Roman" w:hAnsi="Times New Roman" w:cs="Times New Roman"/>
        <w:color w:val="365F91"/>
        <w:sz w:val="16"/>
      </w:rPr>
      <w:tab/>
      <w:t xml:space="preserve">                           Servicio al Ciudadano </w:t>
    </w:r>
    <w:r>
      <w:rPr>
        <w:rFonts w:ascii="Times New Roman" w:eastAsia="Times New Roman" w:hAnsi="Times New Roman" w:cs="Times New Roman"/>
        <w:color w:val="365F91"/>
        <w:sz w:val="16"/>
      </w:rPr>
      <w:tab/>
    </w:r>
    <w:r>
      <w:rPr>
        <w:rFonts w:ascii="Arial" w:eastAsia="Arial" w:hAnsi="Arial" w:cs="Arial"/>
        <w:i/>
        <w:sz w:val="18"/>
      </w:rPr>
      <w:t xml:space="preserve">Página </w:t>
    </w:r>
    <w:r>
      <w:fldChar w:fldCharType="begin"/>
    </w:r>
    <w:r>
      <w:instrText xml:space="preserve"> PAGE   \* MERGEFORMAT </w:instrText>
    </w:r>
    <w:r>
      <w:fldChar w:fldCharType="separate"/>
    </w:r>
    <w:r>
      <w:rPr>
        <w:rFonts w:ascii="Arial" w:eastAsia="Arial" w:hAnsi="Arial" w:cs="Arial"/>
        <w:i/>
        <w:sz w:val="18"/>
      </w:rPr>
      <w:t>1</w:t>
    </w:r>
    <w:r>
      <w:rPr>
        <w:rFonts w:ascii="Arial" w:eastAsia="Arial" w:hAnsi="Arial" w:cs="Arial"/>
        <w:i/>
        <w:sz w:val="18"/>
      </w:rPr>
      <w:fldChar w:fldCharType="end"/>
    </w:r>
    <w:r>
      <w:rPr>
        <w:rFonts w:ascii="Arial" w:eastAsia="Arial" w:hAnsi="Arial" w:cs="Arial"/>
        <w:i/>
        <w:sz w:val="18"/>
      </w:rPr>
      <w:t xml:space="preserve"> de </w:t>
    </w:r>
    <w:fldSimple w:instr=" NUMPAGES   \* MERGEFORMAT ">
      <w:r>
        <w:rPr>
          <w:rFonts w:ascii="Arial" w:eastAsia="Arial" w:hAnsi="Arial" w:cs="Arial"/>
          <w:i/>
          <w:sz w:val="18"/>
        </w:rPr>
        <w:t>8</w:t>
      </w:r>
    </w:fldSimple>
  </w:p>
  <w:p w14:paraId="1EA06336" w14:textId="77777777" w:rsidR="000210F7" w:rsidRDefault="004F38FF">
    <w:pPr>
      <w:tabs>
        <w:tab w:val="center" w:pos="4233"/>
      </w:tabs>
      <w:spacing w:after="59" w:line="259" w:lineRule="auto"/>
      <w:ind w:left="-185" w:firstLine="0"/>
      <w:jc w:val="left"/>
    </w:pPr>
    <w:r>
      <w:rPr>
        <w:rFonts w:ascii="Times New Roman" w:eastAsia="Times New Roman" w:hAnsi="Times New Roman" w:cs="Times New Roman"/>
        <w:color w:val="31849B"/>
        <w:sz w:val="16"/>
      </w:rPr>
      <w:t xml:space="preserve">Edificio Camargo, calle 12B </w:t>
    </w:r>
    <w:proofErr w:type="spellStart"/>
    <w:r>
      <w:rPr>
        <w:rFonts w:ascii="Times New Roman" w:eastAsia="Times New Roman" w:hAnsi="Times New Roman" w:cs="Times New Roman"/>
        <w:color w:val="31849B"/>
        <w:sz w:val="16"/>
      </w:rPr>
      <w:t>N°</w:t>
    </w:r>
    <w:proofErr w:type="spellEnd"/>
    <w:r>
      <w:rPr>
        <w:rFonts w:ascii="Times New Roman" w:eastAsia="Times New Roman" w:hAnsi="Times New Roman" w:cs="Times New Roman"/>
        <w:color w:val="31849B"/>
        <w:sz w:val="16"/>
      </w:rPr>
      <w:t xml:space="preserve"> </w:t>
    </w:r>
    <w:fldSimple w:instr=" NUMPAGES   \* MERGEFORMAT ">
      <w:r>
        <w:rPr>
          <w:rFonts w:ascii="Times New Roman" w:eastAsia="Times New Roman" w:hAnsi="Times New Roman" w:cs="Times New Roman"/>
          <w:color w:val="31849B"/>
          <w:sz w:val="16"/>
        </w:rPr>
        <w:t>8</w:t>
      </w:r>
    </w:fldSimple>
    <w:r>
      <w:rPr>
        <w:rFonts w:ascii="Times New Roman" w:eastAsia="Times New Roman" w:hAnsi="Times New Roman" w:cs="Times New Roman"/>
        <w:color w:val="31849B"/>
        <w:sz w:val="16"/>
      </w:rPr>
      <w:t xml:space="preserve">-46 </w:t>
    </w:r>
    <w:r>
      <w:rPr>
        <w:rFonts w:ascii="Times New Roman" w:eastAsia="Times New Roman" w:hAnsi="Times New Roman" w:cs="Times New Roman"/>
        <w:color w:val="31849B"/>
        <w:sz w:val="16"/>
      </w:rPr>
      <w:tab/>
      <w:t xml:space="preserve">                        </w:t>
    </w:r>
    <w:r>
      <w:rPr>
        <w:rFonts w:ascii="Times New Roman" w:eastAsia="Times New Roman" w:hAnsi="Times New Roman" w:cs="Times New Roman"/>
        <w:color w:val="0000FF"/>
        <w:sz w:val="16"/>
        <w:u w:val="single" w:color="0000FF"/>
      </w:rPr>
      <w:t>servicioalciudadano@mininterior.gov.co</w:t>
    </w:r>
    <w:r>
      <w:rPr>
        <w:rFonts w:ascii="Times New Roman" w:eastAsia="Times New Roman" w:hAnsi="Times New Roman" w:cs="Times New Roman"/>
        <w:color w:val="31849B"/>
        <w:sz w:val="16"/>
      </w:rPr>
      <w:t xml:space="preserve"> </w:t>
    </w:r>
  </w:p>
  <w:p w14:paraId="0A0AC9D0" w14:textId="77777777" w:rsidR="000210F7" w:rsidRDefault="004F38FF">
    <w:pPr>
      <w:tabs>
        <w:tab w:val="center" w:pos="8838"/>
      </w:tabs>
      <w:spacing w:after="0" w:line="259" w:lineRule="auto"/>
      <w:ind w:left="-185" w:firstLine="0"/>
      <w:jc w:val="left"/>
    </w:pPr>
    <w:r>
      <w:rPr>
        <w:rFonts w:ascii="Times New Roman" w:eastAsia="Times New Roman" w:hAnsi="Times New Roman" w:cs="Times New Roman"/>
        <w:color w:val="31849B"/>
        <w:sz w:val="16"/>
      </w:rPr>
      <w:t>Tel: 242 7400.   www.mininterior.gov.co                               Línea gratuita 01 8000 91 04 03</w:t>
    </w:r>
    <w:r>
      <w:rPr>
        <w:rFonts w:ascii="Times New Roman" w:eastAsia="Times New Roman" w:hAnsi="Times New Roman" w:cs="Times New Roman"/>
        <w:color w:val="31849B"/>
        <w:sz w:val="16"/>
      </w:rPr>
      <w:tab/>
    </w:r>
    <w:r>
      <w:rPr>
        <w:rFonts w:ascii="Times New Roman" w:eastAsia="Times New Roman" w:hAnsi="Times New Roman" w:cs="Times New Roman"/>
        <w:sz w:val="24"/>
      </w:rPr>
      <w:t xml:space="preserve"> </w:t>
    </w:r>
  </w:p>
  <w:p w14:paraId="5AECF712" w14:textId="77777777" w:rsidR="000210F7" w:rsidRDefault="004F38FF">
    <w:pPr>
      <w:spacing w:after="35" w:line="259" w:lineRule="auto"/>
      <w:ind w:left="-185" w:firstLine="0"/>
      <w:jc w:val="left"/>
    </w:pPr>
    <w:r>
      <w:rPr>
        <w:rFonts w:ascii="Times New Roman" w:eastAsia="Times New Roman" w:hAnsi="Times New Roman" w:cs="Times New Roman"/>
        <w:color w:val="31849B"/>
        <w:sz w:val="16"/>
      </w:rPr>
      <w:t>Bogotá, D.C. Colombia – Sur América</w:t>
    </w:r>
  </w:p>
  <w:p w14:paraId="4FCF4475" w14:textId="77777777" w:rsidR="000210F7" w:rsidRDefault="004F38FF">
    <w:pPr>
      <w:spacing w:after="0" w:line="259" w:lineRule="auto"/>
      <w:ind w:left="-185" w:firstLine="0"/>
      <w:jc w:val="left"/>
    </w:pPr>
    <w:r>
      <w:rPr>
        <w:sz w:val="20"/>
      </w:rPr>
      <w:t>____________________________________________________________________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B134C" w14:textId="77777777" w:rsidR="000210F7" w:rsidRDefault="004F38FF">
    <w:pPr>
      <w:tabs>
        <w:tab w:val="center" w:pos="4214"/>
        <w:tab w:val="right" w:pos="8838"/>
      </w:tabs>
      <w:spacing w:after="0" w:line="259" w:lineRule="auto"/>
      <w:ind w:left="-185" w:firstLine="0"/>
      <w:jc w:val="left"/>
    </w:pPr>
    <w:r>
      <w:rPr>
        <w:rFonts w:ascii="Times New Roman" w:eastAsia="Times New Roman" w:hAnsi="Times New Roman" w:cs="Times New Roman"/>
        <w:color w:val="365F91"/>
        <w:sz w:val="16"/>
      </w:rPr>
      <w:t xml:space="preserve">Sede Correspondencias </w:t>
    </w:r>
    <w:r>
      <w:rPr>
        <w:rFonts w:ascii="Times New Roman" w:eastAsia="Times New Roman" w:hAnsi="Times New Roman" w:cs="Times New Roman"/>
        <w:color w:val="365F91"/>
        <w:sz w:val="16"/>
      </w:rPr>
      <w:tab/>
      <w:t xml:space="preserve">                           Servicio al Ciudadano </w:t>
    </w:r>
    <w:r>
      <w:rPr>
        <w:rFonts w:ascii="Times New Roman" w:eastAsia="Times New Roman" w:hAnsi="Times New Roman" w:cs="Times New Roman"/>
        <w:color w:val="365F91"/>
        <w:sz w:val="16"/>
      </w:rPr>
      <w:tab/>
    </w:r>
    <w:r>
      <w:rPr>
        <w:rFonts w:ascii="Arial" w:eastAsia="Arial" w:hAnsi="Arial" w:cs="Arial"/>
        <w:i/>
        <w:sz w:val="18"/>
      </w:rPr>
      <w:t xml:space="preserve">Página </w:t>
    </w:r>
    <w:r>
      <w:fldChar w:fldCharType="begin"/>
    </w:r>
    <w:r>
      <w:instrText xml:space="preserve"> PAGE   \* MERGEFORMAT </w:instrText>
    </w:r>
    <w:r>
      <w:fldChar w:fldCharType="separate"/>
    </w:r>
    <w:r>
      <w:rPr>
        <w:rFonts w:ascii="Arial" w:eastAsia="Arial" w:hAnsi="Arial" w:cs="Arial"/>
        <w:i/>
        <w:sz w:val="18"/>
      </w:rPr>
      <w:t>1</w:t>
    </w:r>
    <w:r>
      <w:rPr>
        <w:rFonts w:ascii="Arial" w:eastAsia="Arial" w:hAnsi="Arial" w:cs="Arial"/>
        <w:i/>
        <w:sz w:val="18"/>
      </w:rPr>
      <w:fldChar w:fldCharType="end"/>
    </w:r>
    <w:r>
      <w:rPr>
        <w:rFonts w:ascii="Arial" w:eastAsia="Arial" w:hAnsi="Arial" w:cs="Arial"/>
        <w:i/>
        <w:sz w:val="18"/>
      </w:rPr>
      <w:t xml:space="preserve"> de </w:t>
    </w:r>
    <w:fldSimple w:instr=" NUMPAGES   \* MERGEFORMAT ">
      <w:r>
        <w:rPr>
          <w:rFonts w:ascii="Arial" w:eastAsia="Arial" w:hAnsi="Arial" w:cs="Arial"/>
          <w:i/>
          <w:sz w:val="18"/>
        </w:rPr>
        <w:t>8</w:t>
      </w:r>
    </w:fldSimple>
  </w:p>
  <w:p w14:paraId="35503096" w14:textId="77777777" w:rsidR="000210F7" w:rsidRDefault="004F38FF">
    <w:pPr>
      <w:tabs>
        <w:tab w:val="center" w:pos="4233"/>
      </w:tabs>
      <w:spacing w:after="59" w:line="259" w:lineRule="auto"/>
      <w:ind w:left="-185" w:firstLine="0"/>
      <w:jc w:val="left"/>
    </w:pPr>
    <w:r>
      <w:rPr>
        <w:rFonts w:ascii="Times New Roman" w:eastAsia="Times New Roman" w:hAnsi="Times New Roman" w:cs="Times New Roman"/>
        <w:color w:val="31849B"/>
        <w:sz w:val="16"/>
      </w:rPr>
      <w:t xml:space="preserve">Edificio Camargo, calle 12B </w:t>
    </w:r>
    <w:proofErr w:type="spellStart"/>
    <w:r>
      <w:rPr>
        <w:rFonts w:ascii="Times New Roman" w:eastAsia="Times New Roman" w:hAnsi="Times New Roman" w:cs="Times New Roman"/>
        <w:color w:val="31849B"/>
        <w:sz w:val="16"/>
      </w:rPr>
      <w:t>N°</w:t>
    </w:r>
    <w:proofErr w:type="spellEnd"/>
    <w:r>
      <w:rPr>
        <w:rFonts w:ascii="Times New Roman" w:eastAsia="Times New Roman" w:hAnsi="Times New Roman" w:cs="Times New Roman"/>
        <w:color w:val="31849B"/>
        <w:sz w:val="16"/>
      </w:rPr>
      <w:t xml:space="preserve"> </w:t>
    </w:r>
    <w:fldSimple w:instr=" NUMPAGES   \* MERGEFORMAT ">
      <w:r>
        <w:rPr>
          <w:rFonts w:ascii="Times New Roman" w:eastAsia="Times New Roman" w:hAnsi="Times New Roman" w:cs="Times New Roman"/>
          <w:color w:val="31849B"/>
          <w:sz w:val="16"/>
        </w:rPr>
        <w:t>8</w:t>
      </w:r>
    </w:fldSimple>
    <w:r>
      <w:rPr>
        <w:rFonts w:ascii="Times New Roman" w:eastAsia="Times New Roman" w:hAnsi="Times New Roman" w:cs="Times New Roman"/>
        <w:color w:val="31849B"/>
        <w:sz w:val="16"/>
      </w:rPr>
      <w:t xml:space="preserve">-46 </w:t>
    </w:r>
    <w:r>
      <w:rPr>
        <w:rFonts w:ascii="Times New Roman" w:eastAsia="Times New Roman" w:hAnsi="Times New Roman" w:cs="Times New Roman"/>
        <w:color w:val="31849B"/>
        <w:sz w:val="16"/>
      </w:rPr>
      <w:tab/>
      <w:t xml:space="preserve">                        </w:t>
    </w:r>
    <w:r>
      <w:rPr>
        <w:rFonts w:ascii="Times New Roman" w:eastAsia="Times New Roman" w:hAnsi="Times New Roman" w:cs="Times New Roman"/>
        <w:color w:val="0000FF"/>
        <w:sz w:val="16"/>
        <w:u w:val="single" w:color="0000FF"/>
      </w:rPr>
      <w:t>servicioalciudadano@mininterior.gov.co</w:t>
    </w:r>
    <w:r>
      <w:rPr>
        <w:rFonts w:ascii="Times New Roman" w:eastAsia="Times New Roman" w:hAnsi="Times New Roman" w:cs="Times New Roman"/>
        <w:color w:val="31849B"/>
        <w:sz w:val="16"/>
      </w:rPr>
      <w:t xml:space="preserve"> </w:t>
    </w:r>
  </w:p>
  <w:p w14:paraId="6064CC7F" w14:textId="77777777" w:rsidR="000210F7" w:rsidRDefault="004F38FF">
    <w:pPr>
      <w:tabs>
        <w:tab w:val="center" w:pos="8838"/>
      </w:tabs>
      <w:spacing w:after="0" w:line="259" w:lineRule="auto"/>
      <w:ind w:left="-185" w:firstLine="0"/>
      <w:jc w:val="left"/>
    </w:pPr>
    <w:r>
      <w:rPr>
        <w:rFonts w:ascii="Times New Roman" w:eastAsia="Times New Roman" w:hAnsi="Times New Roman" w:cs="Times New Roman"/>
        <w:color w:val="31849B"/>
        <w:sz w:val="16"/>
      </w:rPr>
      <w:t>Tel: 242 7400.   www.mininterior.gov.co                               Línea gratuita 01 8000 91 04 03</w:t>
    </w:r>
    <w:r>
      <w:rPr>
        <w:rFonts w:ascii="Times New Roman" w:eastAsia="Times New Roman" w:hAnsi="Times New Roman" w:cs="Times New Roman"/>
        <w:color w:val="31849B"/>
        <w:sz w:val="16"/>
      </w:rPr>
      <w:tab/>
    </w:r>
    <w:r>
      <w:rPr>
        <w:rFonts w:ascii="Times New Roman" w:eastAsia="Times New Roman" w:hAnsi="Times New Roman" w:cs="Times New Roman"/>
        <w:sz w:val="24"/>
      </w:rPr>
      <w:t xml:space="preserve"> </w:t>
    </w:r>
  </w:p>
  <w:p w14:paraId="16061475" w14:textId="77777777" w:rsidR="000210F7" w:rsidRDefault="004F38FF">
    <w:pPr>
      <w:spacing w:after="35" w:line="259" w:lineRule="auto"/>
      <w:ind w:left="-185" w:firstLine="0"/>
      <w:jc w:val="left"/>
    </w:pPr>
    <w:r>
      <w:rPr>
        <w:rFonts w:ascii="Times New Roman" w:eastAsia="Times New Roman" w:hAnsi="Times New Roman" w:cs="Times New Roman"/>
        <w:color w:val="31849B"/>
        <w:sz w:val="16"/>
      </w:rPr>
      <w:t>Bogotá, D.C. Colombia – Sur América</w:t>
    </w:r>
  </w:p>
  <w:p w14:paraId="024B8AB3" w14:textId="77777777" w:rsidR="000210F7" w:rsidRDefault="004F38FF">
    <w:pPr>
      <w:spacing w:after="0" w:line="259" w:lineRule="auto"/>
      <w:ind w:left="-185" w:firstLine="0"/>
      <w:jc w:val="left"/>
    </w:pPr>
    <w:r>
      <w:rPr>
        <w:sz w:val="20"/>
      </w:rPr>
      <w:t>____________________________________________________________________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8DAE" w14:textId="77777777" w:rsidR="000210F7" w:rsidRDefault="004F38FF">
    <w:pPr>
      <w:tabs>
        <w:tab w:val="center" w:pos="4214"/>
        <w:tab w:val="right" w:pos="8838"/>
      </w:tabs>
      <w:spacing w:after="0" w:line="259" w:lineRule="auto"/>
      <w:ind w:left="-185" w:firstLine="0"/>
      <w:jc w:val="left"/>
    </w:pPr>
    <w:r>
      <w:rPr>
        <w:rFonts w:ascii="Times New Roman" w:eastAsia="Times New Roman" w:hAnsi="Times New Roman" w:cs="Times New Roman"/>
        <w:color w:val="365F91"/>
        <w:sz w:val="16"/>
      </w:rPr>
      <w:t xml:space="preserve">Sede Correspondencias </w:t>
    </w:r>
    <w:r>
      <w:rPr>
        <w:rFonts w:ascii="Times New Roman" w:eastAsia="Times New Roman" w:hAnsi="Times New Roman" w:cs="Times New Roman"/>
        <w:color w:val="365F91"/>
        <w:sz w:val="16"/>
      </w:rPr>
      <w:tab/>
      <w:t xml:space="preserve">                           Servicio al Ciudadano </w:t>
    </w:r>
    <w:r>
      <w:rPr>
        <w:rFonts w:ascii="Times New Roman" w:eastAsia="Times New Roman" w:hAnsi="Times New Roman" w:cs="Times New Roman"/>
        <w:color w:val="365F91"/>
        <w:sz w:val="16"/>
      </w:rPr>
      <w:tab/>
    </w:r>
    <w:r>
      <w:rPr>
        <w:rFonts w:ascii="Arial" w:eastAsia="Arial" w:hAnsi="Arial" w:cs="Arial"/>
        <w:i/>
        <w:sz w:val="18"/>
      </w:rPr>
      <w:t xml:space="preserve">Página </w:t>
    </w:r>
    <w:r>
      <w:fldChar w:fldCharType="begin"/>
    </w:r>
    <w:r>
      <w:instrText xml:space="preserve"> PAGE   \* MERGEFORMAT </w:instrText>
    </w:r>
    <w:r>
      <w:fldChar w:fldCharType="separate"/>
    </w:r>
    <w:r>
      <w:rPr>
        <w:rFonts w:ascii="Arial" w:eastAsia="Arial" w:hAnsi="Arial" w:cs="Arial"/>
        <w:i/>
        <w:sz w:val="18"/>
      </w:rPr>
      <w:t>1</w:t>
    </w:r>
    <w:r>
      <w:rPr>
        <w:rFonts w:ascii="Arial" w:eastAsia="Arial" w:hAnsi="Arial" w:cs="Arial"/>
        <w:i/>
        <w:sz w:val="18"/>
      </w:rPr>
      <w:fldChar w:fldCharType="end"/>
    </w:r>
    <w:r>
      <w:rPr>
        <w:rFonts w:ascii="Arial" w:eastAsia="Arial" w:hAnsi="Arial" w:cs="Arial"/>
        <w:i/>
        <w:sz w:val="18"/>
      </w:rPr>
      <w:t xml:space="preserve"> de </w:t>
    </w:r>
    <w:fldSimple w:instr=" NUMPAGES   \* MERGEFORMAT ">
      <w:r>
        <w:rPr>
          <w:rFonts w:ascii="Arial" w:eastAsia="Arial" w:hAnsi="Arial" w:cs="Arial"/>
          <w:i/>
          <w:sz w:val="18"/>
        </w:rPr>
        <w:t>8</w:t>
      </w:r>
    </w:fldSimple>
  </w:p>
  <w:p w14:paraId="56682081" w14:textId="77777777" w:rsidR="000210F7" w:rsidRDefault="004F38FF">
    <w:pPr>
      <w:tabs>
        <w:tab w:val="center" w:pos="4233"/>
      </w:tabs>
      <w:spacing w:after="59" w:line="259" w:lineRule="auto"/>
      <w:ind w:left="-185" w:firstLine="0"/>
      <w:jc w:val="left"/>
    </w:pPr>
    <w:r>
      <w:rPr>
        <w:rFonts w:ascii="Times New Roman" w:eastAsia="Times New Roman" w:hAnsi="Times New Roman" w:cs="Times New Roman"/>
        <w:color w:val="31849B"/>
        <w:sz w:val="16"/>
      </w:rPr>
      <w:t xml:space="preserve">Edificio Camargo, calle 12B </w:t>
    </w:r>
    <w:proofErr w:type="spellStart"/>
    <w:r>
      <w:rPr>
        <w:rFonts w:ascii="Times New Roman" w:eastAsia="Times New Roman" w:hAnsi="Times New Roman" w:cs="Times New Roman"/>
        <w:color w:val="31849B"/>
        <w:sz w:val="16"/>
      </w:rPr>
      <w:t>N°</w:t>
    </w:r>
    <w:proofErr w:type="spellEnd"/>
    <w:r>
      <w:rPr>
        <w:rFonts w:ascii="Times New Roman" w:eastAsia="Times New Roman" w:hAnsi="Times New Roman" w:cs="Times New Roman"/>
        <w:color w:val="31849B"/>
        <w:sz w:val="16"/>
      </w:rPr>
      <w:t xml:space="preserve"> </w:t>
    </w:r>
    <w:fldSimple w:instr=" NUMPAGES   \* MERGEFORMAT ">
      <w:r>
        <w:rPr>
          <w:rFonts w:ascii="Times New Roman" w:eastAsia="Times New Roman" w:hAnsi="Times New Roman" w:cs="Times New Roman"/>
          <w:color w:val="31849B"/>
          <w:sz w:val="16"/>
        </w:rPr>
        <w:t>8</w:t>
      </w:r>
    </w:fldSimple>
    <w:r>
      <w:rPr>
        <w:rFonts w:ascii="Times New Roman" w:eastAsia="Times New Roman" w:hAnsi="Times New Roman" w:cs="Times New Roman"/>
        <w:color w:val="31849B"/>
        <w:sz w:val="16"/>
      </w:rPr>
      <w:t xml:space="preserve">-46 </w:t>
    </w:r>
    <w:r>
      <w:rPr>
        <w:rFonts w:ascii="Times New Roman" w:eastAsia="Times New Roman" w:hAnsi="Times New Roman" w:cs="Times New Roman"/>
        <w:color w:val="31849B"/>
        <w:sz w:val="16"/>
      </w:rPr>
      <w:tab/>
      <w:t xml:space="preserve">                        </w:t>
    </w:r>
    <w:r>
      <w:rPr>
        <w:rFonts w:ascii="Times New Roman" w:eastAsia="Times New Roman" w:hAnsi="Times New Roman" w:cs="Times New Roman"/>
        <w:color w:val="0000FF"/>
        <w:sz w:val="16"/>
        <w:u w:val="single" w:color="0000FF"/>
      </w:rPr>
      <w:t>servicioalciudadano@mininterior.gov.co</w:t>
    </w:r>
    <w:r>
      <w:rPr>
        <w:rFonts w:ascii="Times New Roman" w:eastAsia="Times New Roman" w:hAnsi="Times New Roman" w:cs="Times New Roman"/>
        <w:color w:val="31849B"/>
        <w:sz w:val="16"/>
      </w:rPr>
      <w:t xml:space="preserve"> </w:t>
    </w:r>
  </w:p>
  <w:p w14:paraId="73B3DBF6" w14:textId="77777777" w:rsidR="000210F7" w:rsidRDefault="004F38FF">
    <w:pPr>
      <w:tabs>
        <w:tab w:val="center" w:pos="8838"/>
      </w:tabs>
      <w:spacing w:after="0" w:line="259" w:lineRule="auto"/>
      <w:ind w:left="-185" w:firstLine="0"/>
      <w:jc w:val="left"/>
    </w:pPr>
    <w:r>
      <w:rPr>
        <w:rFonts w:ascii="Times New Roman" w:eastAsia="Times New Roman" w:hAnsi="Times New Roman" w:cs="Times New Roman"/>
        <w:color w:val="31849B"/>
        <w:sz w:val="16"/>
      </w:rPr>
      <w:t>Tel: 242 7400.   www.mininterior.gov.co                               Línea gratuita 01 8000 91 04 03</w:t>
    </w:r>
    <w:r>
      <w:rPr>
        <w:rFonts w:ascii="Times New Roman" w:eastAsia="Times New Roman" w:hAnsi="Times New Roman" w:cs="Times New Roman"/>
        <w:color w:val="31849B"/>
        <w:sz w:val="16"/>
      </w:rPr>
      <w:tab/>
    </w:r>
    <w:r>
      <w:rPr>
        <w:rFonts w:ascii="Times New Roman" w:eastAsia="Times New Roman" w:hAnsi="Times New Roman" w:cs="Times New Roman"/>
        <w:sz w:val="24"/>
      </w:rPr>
      <w:t xml:space="preserve"> </w:t>
    </w:r>
  </w:p>
  <w:p w14:paraId="560A6A2C" w14:textId="77777777" w:rsidR="000210F7" w:rsidRDefault="004F38FF">
    <w:pPr>
      <w:spacing w:after="35" w:line="259" w:lineRule="auto"/>
      <w:ind w:left="-185" w:firstLine="0"/>
      <w:jc w:val="left"/>
    </w:pPr>
    <w:r>
      <w:rPr>
        <w:rFonts w:ascii="Times New Roman" w:eastAsia="Times New Roman" w:hAnsi="Times New Roman" w:cs="Times New Roman"/>
        <w:color w:val="31849B"/>
        <w:sz w:val="16"/>
      </w:rPr>
      <w:t>Bogotá, D.C. Colombia – Sur América</w:t>
    </w:r>
  </w:p>
  <w:p w14:paraId="6897F2EC" w14:textId="77777777" w:rsidR="000210F7" w:rsidRDefault="004F38FF">
    <w:pPr>
      <w:spacing w:after="0" w:line="259" w:lineRule="auto"/>
      <w:ind w:left="-185" w:firstLine="0"/>
      <w:jc w:val="left"/>
    </w:pPr>
    <w:r>
      <w:rPr>
        <w:sz w:val="20"/>
      </w:rPr>
      <w:t>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60FA" w14:textId="77777777" w:rsidR="007B451B" w:rsidRDefault="007B451B">
      <w:pPr>
        <w:spacing w:after="0" w:line="240" w:lineRule="auto"/>
      </w:pPr>
      <w:r>
        <w:separator/>
      </w:r>
    </w:p>
  </w:footnote>
  <w:footnote w:type="continuationSeparator" w:id="0">
    <w:p w14:paraId="250473E8" w14:textId="77777777" w:rsidR="007B451B" w:rsidRDefault="007B4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8591" w14:textId="77777777" w:rsidR="000210F7" w:rsidRDefault="004F38FF">
    <w:pPr>
      <w:spacing w:after="0" w:line="259" w:lineRule="auto"/>
      <w:ind w:left="-1701" w:right="6889" w:firstLine="0"/>
      <w:jc w:val="left"/>
    </w:pPr>
    <w:r>
      <w:rPr>
        <w:noProof/>
      </w:rPr>
      <w:drawing>
        <wp:anchor distT="0" distB="0" distL="114300" distR="114300" simplePos="0" relativeHeight="251658240" behindDoc="0" locked="0" layoutInCell="1" allowOverlap="0" wp14:anchorId="4AF7144A" wp14:editId="03D22A8A">
          <wp:simplePos x="0" y="0"/>
          <wp:positionH relativeFrom="page">
            <wp:posOffset>1080135</wp:posOffset>
          </wp:positionH>
          <wp:positionV relativeFrom="page">
            <wp:posOffset>449580</wp:posOffset>
          </wp:positionV>
          <wp:extent cx="1237615" cy="1061085"/>
          <wp:effectExtent l="0" t="0" r="0" b="0"/>
          <wp:wrapSquare wrapText="bothSides"/>
          <wp:docPr id="7" name="Imagen 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237615" cy="1061085"/>
                  </a:xfrm>
                  <a:prstGeom prst="rect">
                    <a:avLst/>
                  </a:prstGeom>
                </pic:spPr>
              </pic:pic>
            </a:graphicData>
          </a:graphic>
        </wp:anchor>
      </w:drawing>
    </w:r>
    <w:r>
      <w:rPr>
        <w:rFonts w:ascii="Calibri" w:eastAsia="Calibri" w:hAnsi="Calibri" w:cs="Calibri"/>
        <w:noProof/>
      </w:rPr>
      <mc:AlternateContent>
        <mc:Choice Requires="wpg">
          <w:drawing>
            <wp:anchor distT="0" distB="0" distL="114300" distR="114300" simplePos="0" relativeHeight="251659264" behindDoc="0" locked="0" layoutInCell="1" allowOverlap="1" wp14:anchorId="30B69779" wp14:editId="67DDBE4B">
              <wp:simplePos x="0" y="0"/>
              <wp:positionH relativeFrom="page">
                <wp:posOffset>4386580</wp:posOffset>
              </wp:positionH>
              <wp:positionV relativeFrom="page">
                <wp:posOffset>895338</wp:posOffset>
              </wp:positionV>
              <wp:extent cx="2887345" cy="900430"/>
              <wp:effectExtent l="0" t="0" r="0" b="0"/>
              <wp:wrapSquare wrapText="bothSides"/>
              <wp:docPr id="25642" name="Grupo 2"/>
              <wp:cNvGraphicFramePr/>
              <a:graphic xmlns:a="http://schemas.openxmlformats.org/drawingml/2006/main">
                <a:graphicData uri="http://schemas.microsoft.com/office/word/2010/wordprocessingGroup">
                  <wpg:wgp>
                    <wpg:cNvGrpSpPr/>
                    <wpg:grpSpPr>
                      <a:xfrm>
                        <a:off x="0" y="0"/>
                        <a:ext cx="2887345" cy="900430"/>
                        <a:chOff x="0" y="0"/>
                        <a:chExt cx="2887345" cy="900430"/>
                      </a:xfrm>
                    </wpg:grpSpPr>
                    <wps:wsp>
                      <wps:cNvPr id="25643" name="Shape 25643"/>
                      <wps:cNvSpPr/>
                      <wps:spPr>
                        <a:xfrm>
                          <a:off x="3175"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646" name="Shape 25646"/>
                      <wps:cNvSpPr/>
                      <wps:spPr>
                        <a:xfrm>
                          <a:off x="2884170"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644" name="Shape 25644"/>
                      <wps:cNvSpPr/>
                      <wps:spPr>
                        <a:xfrm>
                          <a:off x="0" y="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645" name="Shape 25645"/>
                      <wps:cNvSpPr/>
                      <wps:spPr>
                        <a:xfrm>
                          <a:off x="0" y="90043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du="http://schemas.microsoft.com/office/word/2023/wordml/word16du" xmlns:w16sdtfl="http://schemas.microsoft.com/office/word/2024/wordml/sdtformatlock" xmlns:a="http://schemas.openxmlformats.org/drawingml/2006/main">
          <w:pict>
            <v:group id="Group 25642" style="width:227.35pt;height:70.9pt;position:absolute;mso-position-horizontal-relative:page;mso-position-horizontal:absolute;margin-left:345.4pt;mso-position-vertical-relative:page;margin-top:70.499pt;" coordsize="28873,9004">
              <v:shape id="Shape 25643" style="position:absolute;width:0;height:8940;left:31;top:31;" coordsize="0,894080" path="m0,0l0,0l0,894080">
                <v:stroke weight="0.5pt" endcap="flat" dashstyle="2 4" joinstyle="miter" miterlimit="10" on="true" color="#000000"/>
                <v:fill on="false" color="#000000" opacity="0"/>
              </v:shape>
              <v:shape id="Shape 25646" style="position:absolute;width:0;height:8940;left:28841;top:31;" coordsize="0,894080" path="m0,0l0,0l0,894080">
                <v:stroke weight="0.5pt" endcap="flat" dashstyle="2 4" joinstyle="miter" miterlimit="10" on="true" color="#000000"/>
                <v:fill on="false" color="#000000" opacity="0"/>
              </v:shape>
              <v:shape id="Shape 25644" style="position:absolute;width:28873;height:0;left:0;top:0;" coordsize="2887345,0" path="m0,0l0,0l2887345,0">
                <v:stroke weight="0.5pt" endcap="flat" dashstyle="2 4" joinstyle="miter" miterlimit="10" on="true" color="#000000"/>
                <v:fill on="false" color="#000000" opacity="0"/>
              </v:shape>
              <v:shape id="Shape 25645" style="position:absolute;width:28873;height:0;left:0;top:9004;" coordsize="2887345,0" path="m0,0l0,0l2887345,0">
                <v:stroke weight="0.5pt" endcap="flat" dashstyle="2 4" joinstyle="miter" miterlimit="10" on="true" color="#000000"/>
                <v:fill on="false" color="#000000" opacity="0"/>
              </v:shape>
              <w10:wrap type="squar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C47A" w14:textId="77777777" w:rsidR="000210F7" w:rsidRDefault="004F38FF">
    <w:pPr>
      <w:spacing w:after="0" w:line="259" w:lineRule="auto"/>
      <w:ind w:left="-1701" w:right="6889" w:firstLine="0"/>
      <w:jc w:val="left"/>
    </w:pPr>
    <w:r>
      <w:rPr>
        <w:noProof/>
      </w:rPr>
      <w:drawing>
        <wp:anchor distT="0" distB="0" distL="114300" distR="114300" simplePos="0" relativeHeight="251660288" behindDoc="0" locked="0" layoutInCell="1" allowOverlap="0" wp14:anchorId="40DA2C12" wp14:editId="0CD98CCD">
          <wp:simplePos x="0" y="0"/>
          <wp:positionH relativeFrom="page">
            <wp:posOffset>1080135</wp:posOffset>
          </wp:positionH>
          <wp:positionV relativeFrom="page">
            <wp:posOffset>449580</wp:posOffset>
          </wp:positionV>
          <wp:extent cx="1237615" cy="1061085"/>
          <wp:effectExtent l="0" t="0" r="0" b="0"/>
          <wp:wrapSquare wrapText="bothSides"/>
          <wp:docPr id="248979661" name="Imagen 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237615" cy="1061085"/>
                  </a:xfrm>
                  <a:prstGeom prst="rect">
                    <a:avLst/>
                  </a:prstGeom>
                </pic:spPr>
              </pic:pic>
            </a:graphicData>
          </a:graphic>
        </wp:anchor>
      </w:drawing>
    </w:r>
    <w:r>
      <w:rPr>
        <w:rFonts w:ascii="Calibri" w:eastAsia="Calibri" w:hAnsi="Calibri" w:cs="Calibri"/>
        <w:noProof/>
      </w:rPr>
      <mc:AlternateContent>
        <mc:Choice Requires="wpg">
          <w:drawing>
            <wp:anchor distT="0" distB="0" distL="114300" distR="114300" simplePos="0" relativeHeight="251661312" behindDoc="0" locked="0" layoutInCell="1" allowOverlap="1" wp14:anchorId="10FB5B48" wp14:editId="15E9A596">
              <wp:simplePos x="0" y="0"/>
              <wp:positionH relativeFrom="page">
                <wp:posOffset>4386580</wp:posOffset>
              </wp:positionH>
              <wp:positionV relativeFrom="page">
                <wp:posOffset>895338</wp:posOffset>
              </wp:positionV>
              <wp:extent cx="2887345" cy="900430"/>
              <wp:effectExtent l="0" t="0" r="0" b="0"/>
              <wp:wrapSquare wrapText="bothSides"/>
              <wp:docPr id="25544" name="Grupo 4"/>
              <wp:cNvGraphicFramePr/>
              <a:graphic xmlns:a="http://schemas.openxmlformats.org/drawingml/2006/main">
                <a:graphicData uri="http://schemas.microsoft.com/office/word/2010/wordprocessingGroup">
                  <wpg:wgp>
                    <wpg:cNvGrpSpPr/>
                    <wpg:grpSpPr>
                      <a:xfrm>
                        <a:off x="0" y="0"/>
                        <a:ext cx="2887345" cy="900430"/>
                        <a:chOff x="0" y="0"/>
                        <a:chExt cx="2887345" cy="900430"/>
                      </a:xfrm>
                    </wpg:grpSpPr>
                    <wps:wsp>
                      <wps:cNvPr id="25545" name="Shape 25545"/>
                      <wps:cNvSpPr/>
                      <wps:spPr>
                        <a:xfrm>
                          <a:off x="3175"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548" name="Shape 25548"/>
                      <wps:cNvSpPr/>
                      <wps:spPr>
                        <a:xfrm>
                          <a:off x="2884170"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546" name="Shape 25546"/>
                      <wps:cNvSpPr/>
                      <wps:spPr>
                        <a:xfrm>
                          <a:off x="0" y="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547" name="Shape 25547"/>
                      <wps:cNvSpPr/>
                      <wps:spPr>
                        <a:xfrm>
                          <a:off x="0" y="90043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du="http://schemas.microsoft.com/office/word/2023/wordml/word16du" xmlns:w16sdtfl="http://schemas.microsoft.com/office/word/2024/wordml/sdtformatlock" xmlns:a="http://schemas.openxmlformats.org/drawingml/2006/main">
          <w:pict>
            <v:group id="Group 25544" style="width:227.35pt;height:70.9pt;position:absolute;mso-position-horizontal-relative:page;mso-position-horizontal:absolute;margin-left:345.4pt;mso-position-vertical-relative:page;margin-top:70.499pt;" coordsize="28873,9004">
              <v:shape id="Shape 25545" style="position:absolute;width:0;height:8940;left:31;top:31;" coordsize="0,894080" path="m0,0l0,0l0,894080">
                <v:stroke weight="0.5pt" endcap="flat" dashstyle="2 4" joinstyle="miter" miterlimit="10" on="true" color="#000000"/>
                <v:fill on="false" color="#000000" opacity="0"/>
              </v:shape>
              <v:shape id="Shape 25548" style="position:absolute;width:0;height:8940;left:28841;top:31;" coordsize="0,894080" path="m0,0l0,0l0,894080">
                <v:stroke weight="0.5pt" endcap="flat" dashstyle="2 4" joinstyle="miter" miterlimit="10" on="true" color="#000000"/>
                <v:fill on="false" color="#000000" opacity="0"/>
              </v:shape>
              <v:shape id="Shape 25546" style="position:absolute;width:28873;height:0;left:0;top:0;" coordsize="2887345,0" path="m0,0l0,0l2887345,0">
                <v:stroke weight="0.5pt" endcap="flat" dashstyle="2 4" joinstyle="miter" miterlimit="10" on="true" color="#000000"/>
                <v:fill on="false" color="#000000" opacity="0"/>
              </v:shape>
              <v:shape id="Shape 25547" style="position:absolute;width:28873;height:0;left:0;top:9004;" coordsize="2887345,0" path="m0,0l0,0l2887345,0">
                <v:stroke weight="0.5pt" endcap="flat" dashstyle="2 4" joinstyle="miter" miterlimit="10" on="true" color="#000000"/>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7E50" w14:textId="77777777" w:rsidR="000210F7" w:rsidRDefault="004F38FF">
    <w:pPr>
      <w:spacing w:after="0" w:line="259" w:lineRule="auto"/>
      <w:ind w:left="-1701" w:right="6889" w:firstLine="0"/>
      <w:jc w:val="left"/>
    </w:pPr>
    <w:r>
      <w:rPr>
        <w:noProof/>
      </w:rPr>
      <w:drawing>
        <wp:anchor distT="0" distB="0" distL="114300" distR="114300" simplePos="0" relativeHeight="251662336" behindDoc="0" locked="0" layoutInCell="1" allowOverlap="0" wp14:anchorId="3F822975" wp14:editId="7F7D4FA8">
          <wp:simplePos x="0" y="0"/>
          <wp:positionH relativeFrom="page">
            <wp:posOffset>1080135</wp:posOffset>
          </wp:positionH>
          <wp:positionV relativeFrom="page">
            <wp:posOffset>449580</wp:posOffset>
          </wp:positionV>
          <wp:extent cx="1237615" cy="1061085"/>
          <wp:effectExtent l="0" t="0" r="0" b="0"/>
          <wp:wrapSquare wrapText="bothSides"/>
          <wp:docPr id="2090672294" name="Imagen 5"/>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237615" cy="1061085"/>
                  </a:xfrm>
                  <a:prstGeom prst="rect">
                    <a:avLst/>
                  </a:prstGeom>
                </pic:spPr>
              </pic:pic>
            </a:graphicData>
          </a:graphic>
        </wp:anchor>
      </w:drawing>
    </w:r>
    <w:r>
      <w:rPr>
        <w:rFonts w:ascii="Calibri" w:eastAsia="Calibri" w:hAnsi="Calibri" w:cs="Calibri"/>
        <w:noProof/>
      </w:rPr>
      <mc:AlternateContent>
        <mc:Choice Requires="wpg">
          <w:drawing>
            <wp:anchor distT="0" distB="0" distL="114300" distR="114300" simplePos="0" relativeHeight="251663360" behindDoc="0" locked="0" layoutInCell="1" allowOverlap="1" wp14:anchorId="0565DE4A" wp14:editId="300D72E8">
              <wp:simplePos x="0" y="0"/>
              <wp:positionH relativeFrom="page">
                <wp:posOffset>4386580</wp:posOffset>
              </wp:positionH>
              <wp:positionV relativeFrom="page">
                <wp:posOffset>895338</wp:posOffset>
              </wp:positionV>
              <wp:extent cx="2887345" cy="900430"/>
              <wp:effectExtent l="0" t="0" r="0" b="0"/>
              <wp:wrapSquare wrapText="bothSides"/>
              <wp:docPr id="25446" name="Grupo 6"/>
              <wp:cNvGraphicFramePr/>
              <a:graphic xmlns:a="http://schemas.openxmlformats.org/drawingml/2006/main">
                <a:graphicData uri="http://schemas.microsoft.com/office/word/2010/wordprocessingGroup">
                  <wpg:wgp>
                    <wpg:cNvGrpSpPr/>
                    <wpg:grpSpPr>
                      <a:xfrm>
                        <a:off x="0" y="0"/>
                        <a:ext cx="2887345" cy="900430"/>
                        <a:chOff x="0" y="0"/>
                        <a:chExt cx="2887345" cy="900430"/>
                      </a:xfrm>
                    </wpg:grpSpPr>
                    <wps:wsp>
                      <wps:cNvPr id="25447" name="Shape 25447"/>
                      <wps:cNvSpPr/>
                      <wps:spPr>
                        <a:xfrm>
                          <a:off x="3175"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450" name="Shape 25450"/>
                      <wps:cNvSpPr/>
                      <wps:spPr>
                        <a:xfrm>
                          <a:off x="2884170"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448" name="Shape 25448"/>
                      <wps:cNvSpPr/>
                      <wps:spPr>
                        <a:xfrm>
                          <a:off x="0" y="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449" name="Shape 25449"/>
                      <wps:cNvSpPr/>
                      <wps:spPr>
                        <a:xfrm>
                          <a:off x="0" y="90043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16du="http://schemas.microsoft.com/office/word/2023/wordml/word16du" xmlns:w16sdtfl="http://schemas.microsoft.com/office/word/2024/wordml/sdtformatlock" xmlns:a="http://schemas.openxmlformats.org/drawingml/2006/main">
          <w:pict>
            <v:group id="Group 25446" style="width:227.35pt;height:70.9pt;position:absolute;mso-position-horizontal-relative:page;mso-position-horizontal:absolute;margin-left:345.4pt;mso-position-vertical-relative:page;margin-top:70.499pt;" coordsize="28873,9004">
              <v:shape id="Shape 25447" style="position:absolute;width:0;height:8940;left:31;top:31;" coordsize="0,894080" path="m0,0l0,0l0,894080">
                <v:stroke weight="0.5pt" endcap="flat" dashstyle="2 4" joinstyle="miter" miterlimit="10" on="true" color="#000000"/>
                <v:fill on="false" color="#000000" opacity="0"/>
              </v:shape>
              <v:shape id="Shape 25450" style="position:absolute;width:0;height:8940;left:28841;top:31;" coordsize="0,894080" path="m0,0l0,0l0,894080">
                <v:stroke weight="0.5pt" endcap="flat" dashstyle="2 4" joinstyle="miter" miterlimit="10" on="true" color="#000000"/>
                <v:fill on="false" color="#000000" opacity="0"/>
              </v:shape>
              <v:shape id="Shape 25448" style="position:absolute;width:28873;height:0;left:0;top:0;" coordsize="2887345,0" path="m0,0l0,0l2887345,0">
                <v:stroke weight="0.5pt" endcap="flat" dashstyle="2 4" joinstyle="miter" miterlimit="10" on="true" color="#000000"/>
                <v:fill on="false" color="#000000" opacity="0"/>
              </v:shape>
              <v:shape id="Shape 25449" style="position:absolute;width:28873;height:0;left:0;top:9004;" coordsize="2887345,0" path="m0,0l0,0l2887345,0">
                <v:stroke weight="0.5pt" endcap="flat" dashstyle="2 4" joinstyle="miter" miterlimit="10" on="true" color="#000000"/>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C198C"/>
    <w:multiLevelType w:val="hybridMultilevel"/>
    <w:tmpl w:val="7136A9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64B7EA1"/>
    <w:multiLevelType w:val="hybridMultilevel"/>
    <w:tmpl w:val="71CE8924"/>
    <w:lvl w:ilvl="0" w:tplc="ADA64D26">
      <w:start w:val="2"/>
      <w:numFmt w:val="decimal"/>
      <w:lvlText w:val="%1."/>
      <w:lvlJc w:val="left"/>
      <w:pPr>
        <w:ind w:left="835"/>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26AE3048">
      <w:start w:val="1"/>
      <w:numFmt w:val="lowerLetter"/>
      <w:lvlText w:val="%2"/>
      <w:lvlJc w:val="left"/>
      <w:pPr>
        <w:ind w:left="129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2" w:tplc="88301F96">
      <w:start w:val="1"/>
      <w:numFmt w:val="lowerRoman"/>
      <w:lvlText w:val="%3"/>
      <w:lvlJc w:val="left"/>
      <w:pPr>
        <w:ind w:left="201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3" w:tplc="3D82F92A">
      <w:start w:val="1"/>
      <w:numFmt w:val="decimal"/>
      <w:lvlText w:val="%4"/>
      <w:lvlJc w:val="left"/>
      <w:pPr>
        <w:ind w:left="273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4" w:tplc="884E7AA4">
      <w:start w:val="1"/>
      <w:numFmt w:val="lowerLetter"/>
      <w:lvlText w:val="%5"/>
      <w:lvlJc w:val="left"/>
      <w:pPr>
        <w:ind w:left="345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5" w:tplc="4F74AC68">
      <w:start w:val="1"/>
      <w:numFmt w:val="lowerRoman"/>
      <w:lvlText w:val="%6"/>
      <w:lvlJc w:val="left"/>
      <w:pPr>
        <w:ind w:left="417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6" w:tplc="B1D4A9FC">
      <w:start w:val="1"/>
      <w:numFmt w:val="decimal"/>
      <w:lvlText w:val="%7"/>
      <w:lvlJc w:val="left"/>
      <w:pPr>
        <w:ind w:left="489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7" w:tplc="B0401C00">
      <w:start w:val="1"/>
      <w:numFmt w:val="lowerLetter"/>
      <w:lvlText w:val="%8"/>
      <w:lvlJc w:val="left"/>
      <w:pPr>
        <w:ind w:left="561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8" w:tplc="B588A944">
      <w:start w:val="1"/>
      <w:numFmt w:val="lowerRoman"/>
      <w:lvlText w:val="%9"/>
      <w:lvlJc w:val="left"/>
      <w:pPr>
        <w:ind w:left="633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D533097"/>
    <w:multiLevelType w:val="multilevel"/>
    <w:tmpl w:val="4E14D9FA"/>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398148DB"/>
    <w:multiLevelType w:val="multilevel"/>
    <w:tmpl w:val="4E14D9FA"/>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3B4A5723"/>
    <w:multiLevelType w:val="hybridMultilevel"/>
    <w:tmpl w:val="650CD3EE"/>
    <w:lvl w:ilvl="0" w:tplc="D5EC3716">
      <w:start w:val="1"/>
      <w:numFmt w:val="decimal"/>
      <w:lvlText w:val="%1."/>
      <w:lvlJc w:val="left"/>
      <w:pPr>
        <w:ind w:left="7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9162C9A8">
      <w:start w:val="1"/>
      <w:numFmt w:val="lowerLetter"/>
      <w:lvlText w:val="%2"/>
      <w:lvlJc w:val="left"/>
      <w:pPr>
        <w:ind w:left="14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D8A605C0">
      <w:start w:val="1"/>
      <w:numFmt w:val="lowerRoman"/>
      <w:lvlText w:val="%3"/>
      <w:lvlJc w:val="left"/>
      <w:pPr>
        <w:ind w:left="21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EB0A8822">
      <w:start w:val="1"/>
      <w:numFmt w:val="decimal"/>
      <w:lvlText w:val="%4"/>
      <w:lvlJc w:val="left"/>
      <w:pPr>
        <w:ind w:left="28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198EFA2">
      <w:start w:val="1"/>
      <w:numFmt w:val="lowerLetter"/>
      <w:lvlText w:val="%5"/>
      <w:lvlJc w:val="left"/>
      <w:pPr>
        <w:ind w:left="36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D9F8B5C0">
      <w:start w:val="1"/>
      <w:numFmt w:val="lowerRoman"/>
      <w:lvlText w:val="%6"/>
      <w:lvlJc w:val="left"/>
      <w:pPr>
        <w:ind w:left="43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1FA8D70A">
      <w:start w:val="1"/>
      <w:numFmt w:val="decimal"/>
      <w:lvlText w:val="%7"/>
      <w:lvlJc w:val="left"/>
      <w:pPr>
        <w:ind w:left="50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11EE5D62">
      <w:start w:val="1"/>
      <w:numFmt w:val="lowerLetter"/>
      <w:lvlText w:val="%8"/>
      <w:lvlJc w:val="left"/>
      <w:pPr>
        <w:ind w:left="57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5E69DE4">
      <w:start w:val="1"/>
      <w:numFmt w:val="lowerRoman"/>
      <w:lvlText w:val="%9"/>
      <w:lvlJc w:val="left"/>
      <w:pPr>
        <w:ind w:left="64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DE56B33"/>
    <w:multiLevelType w:val="hybridMultilevel"/>
    <w:tmpl w:val="818E9FCA"/>
    <w:lvl w:ilvl="0" w:tplc="B8D66754">
      <w:start w:val="3"/>
      <w:numFmt w:val="lowerRoman"/>
      <w:lvlText w:val="[%1]"/>
      <w:lvlJc w:val="left"/>
      <w:pPr>
        <w:ind w:left="253"/>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1" w:tplc="9CA84758">
      <w:start w:val="1"/>
      <w:numFmt w:val="lowerLetter"/>
      <w:lvlText w:val="%2"/>
      <w:lvlJc w:val="left"/>
      <w:pPr>
        <w:ind w:left="108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2" w:tplc="781AD842">
      <w:start w:val="1"/>
      <w:numFmt w:val="lowerRoman"/>
      <w:lvlText w:val="%3"/>
      <w:lvlJc w:val="left"/>
      <w:pPr>
        <w:ind w:left="180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3" w:tplc="119E606A">
      <w:start w:val="1"/>
      <w:numFmt w:val="decimal"/>
      <w:lvlText w:val="%4"/>
      <w:lvlJc w:val="left"/>
      <w:pPr>
        <w:ind w:left="252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4" w:tplc="5D9C9076">
      <w:start w:val="1"/>
      <w:numFmt w:val="lowerLetter"/>
      <w:lvlText w:val="%5"/>
      <w:lvlJc w:val="left"/>
      <w:pPr>
        <w:ind w:left="324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5" w:tplc="7FC640A8">
      <w:start w:val="1"/>
      <w:numFmt w:val="lowerRoman"/>
      <w:lvlText w:val="%6"/>
      <w:lvlJc w:val="left"/>
      <w:pPr>
        <w:ind w:left="396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6" w:tplc="DC009808">
      <w:start w:val="1"/>
      <w:numFmt w:val="decimal"/>
      <w:lvlText w:val="%7"/>
      <w:lvlJc w:val="left"/>
      <w:pPr>
        <w:ind w:left="468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7" w:tplc="F2B4963A">
      <w:start w:val="1"/>
      <w:numFmt w:val="lowerLetter"/>
      <w:lvlText w:val="%8"/>
      <w:lvlJc w:val="left"/>
      <w:pPr>
        <w:ind w:left="540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8" w:tplc="CABAC178">
      <w:start w:val="1"/>
      <w:numFmt w:val="lowerRoman"/>
      <w:lvlText w:val="%9"/>
      <w:lvlJc w:val="left"/>
      <w:pPr>
        <w:ind w:left="612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abstractNum>
  <w:abstractNum w:abstractNumId="6" w15:restartNumberingAfterBreak="0">
    <w:nsid w:val="7443777D"/>
    <w:multiLevelType w:val="hybridMultilevel"/>
    <w:tmpl w:val="757CB858"/>
    <w:lvl w:ilvl="0" w:tplc="8018B3F6">
      <w:start w:val="7"/>
      <w:numFmt w:val="upperRoman"/>
      <w:pStyle w:val="Ttulo1"/>
      <w:lvlText w:val="%1."/>
      <w:lvlJc w:val="left"/>
      <w:pPr>
        <w:ind w:left="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6D0616BC">
      <w:start w:val="1"/>
      <w:numFmt w:val="lowerLetter"/>
      <w:lvlText w:val="%2"/>
      <w:lvlJc w:val="left"/>
      <w:pPr>
        <w:ind w:left="419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2" w:tplc="9654B0F4">
      <w:start w:val="1"/>
      <w:numFmt w:val="lowerRoman"/>
      <w:lvlText w:val="%3"/>
      <w:lvlJc w:val="left"/>
      <w:pPr>
        <w:ind w:left="491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3" w:tplc="2162EE4C">
      <w:start w:val="1"/>
      <w:numFmt w:val="decimal"/>
      <w:lvlText w:val="%4"/>
      <w:lvlJc w:val="left"/>
      <w:pPr>
        <w:ind w:left="563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4" w:tplc="A0C42648">
      <w:start w:val="1"/>
      <w:numFmt w:val="lowerLetter"/>
      <w:lvlText w:val="%5"/>
      <w:lvlJc w:val="left"/>
      <w:pPr>
        <w:ind w:left="635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5" w:tplc="FF7E4BA2">
      <w:start w:val="1"/>
      <w:numFmt w:val="lowerRoman"/>
      <w:lvlText w:val="%6"/>
      <w:lvlJc w:val="left"/>
      <w:pPr>
        <w:ind w:left="707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6" w:tplc="F62C7F6A">
      <w:start w:val="1"/>
      <w:numFmt w:val="decimal"/>
      <w:lvlText w:val="%7"/>
      <w:lvlJc w:val="left"/>
      <w:pPr>
        <w:ind w:left="779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7" w:tplc="7E723946">
      <w:start w:val="1"/>
      <w:numFmt w:val="lowerLetter"/>
      <w:lvlText w:val="%8"/>
      <w:lvlJc w:val="left"/>
      <w:pPr>
        <w:ind w:left="851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8" w:tplc="A816E786">
      <w:start w:val="1"/>
      <w:numFmt w:val="lowerRoman"/>
      <w:lvlText w:val="%9"/>
      <w:lvlJc w:val="left"/>
      <w:pPr>
        <w:ind w:left="923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abstractNum>
  <w:num w:numId="1" w16cid:durableId="286664623">
    <w:abstractNumId w:val="4"/>
  </w:num>
  <w:num w:numId="2" w16cid:durableId="1592660627">
    <w:abstractNumId w:val="1"/>
  </w:num>
  <w:num w:numId="3" w16cid:durableId="109786209">
    <w:abstractNumId w:val="5"/>
  </w:num>
  <w:num w:numId="4" w16cid:durableId="975642296">
    <w:abstractNumId w:val="6"/>
  </w:num>
  <w:num w:numId="5" w16cid:durableId="752551155">
    <w:abstractNumId w:val="0"/>
  </w:num>
  <w:num w:numId="6" w16cid:durableId="1919513999">
    <w:abstractNumId w:val="3"/>
  </w:num>
  <w:num w:numId="7" w16cid:durableId="999575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0F7"/>
    <w:rsid w:val="000210F7"/>
    <w:rsid w:val="000B50BD"/>
    <w:rsid w:val="002427BE"/>
    <w:rsid w:val="002B72C7"/>
    <w:rsid w:val="00385D14"/>
    <w:rsid w:val="00474B37"/>
    <w:rsid w:val="00475E70"/>
    <w:rsid w:val="00484F43"/>
    <w:rsid w:val="004F38FF"/>
    <w:rsid w:val="004F6673"/>
    <w:rsid w:val="0050757C"/>
    <w:rsid w:val="00522282"/>
    <w:rsid w:val="00590236"/>
    <w:rsid w:val="007135B4"/>
    <w:rsid w:val="007167AE"/>
    <w:rsid w:val="007B451B"/>
    <w:rsid w:val="007F77C1"/>
    <w:rsid w:val="0087740A"/>
    <w:rsid w:val="008E5828"/>
    <w:rsid w:val="008F2ED4"/>
    <w:rsid w:val="00DB64AE"/>
    <w:rsid w:val="00E15FA4"/>
    <w:rsid w:val="00ED70F8"/>
    <w:rsid w:val="00F05068"/>
    <w:rsid w:val="00F14940"/>
    <w:rsid w:val="00F375DB"/>
    <w:rsid w:val="00F84A9D"/>
    <w:rsid w:val="00F866E1"/>
    <w:rsid w:val="00FC3D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3C164"/>
  <w15:docId w15:val="{EF893124-97CD-49B2-B3F8-A473E0B38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58" w:line="249" w:lineRule="auto"/>
      <w:ind w:left="10" w:hanging="10"/>
      <w:jc w:val="both"/>
    </w:pPr>
    <w:rPr>
      <w:rFonts w:ascii="Verdana" w:eastAsia="Verdana" w:hAnsi="Verdana" w:cs="Verdana"/>
      <w:color w:val="000000"/>
      <w:sz w:val="22"/>
    </w:rPr>
  </w:style>
  <w:style w:type="paragraph" w:styleId="Ttulo1">
    <w:name w:val="heading 1"/>
    <w:next w:val="Normal"/>
    <w:link w:val="Ttulo1Car"/>
    <w:uiPriority w:val="9"/>
    <w:qFormat/>
    <w:pPr>
      <w:keepNext/>
      <w:keepLines/>
      <w:numPr>
        <w:numId w:val="4"/>
      </w:numPr>
      <w:spacing w:after="244" w:line="265" w:lineRule="auto"/>
      <w:ind w:left="10" w:hanging="10"/>
      <w:jc w:val="center"/>
      <w:outlineLvl w:val="0"/>
    </w:pPr>
    <w:rPr>
      <w:rFonts w:ascii="Verdana" w:eastAsia="Verdana" w:hAnsi="Verdana" w:cs="Verdana"/>
      <w:b/>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Verdana" w:eastAsia="Verdana" w:hAnsi="Verdana" w:cs="Verdan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vnculo">
    <w:name w:val="Hyperlink"/>
    <w:basedOn w:val="Fuentedeprrafopredeter"/>
    <w:unhideWhenUsed/>
    <w:rsid w:val="00DB64AE"/>
    <w:rPr>
      <w:color w:val="467886" w:themeColor="hyperlink"/>
      <w:u w:val="single"/>
    </w:rPr>
  </w:style>
  <w:style w:type="character" w:styleId="Mencinsinresolver">
    <w:name w:val="Unresolved Mention"/>
    <w:basedOn w:val="Fuentedeprrafopredeter"/>
    <w:uiPriority w:val="99"/>
    <w:semiHidden/>
    <w:unhideWhenUsed/>
    <w:rsid w:val="00DB64AE"/>
    <w:rPr>
      <w:color w:val="605E5C"/>
      <w:shd w:val="clear" w:color="auto" w:fill="E1DFDD"/>
    </w:rPr>
  </w:style>
  <w:style w:type="paragraph" w:styleId="Prrafodelista">
    <w:name w:val="List Paragraph"/>
    <w:basedOn w:val="Normal"/>
    <w:qFormat/>
    <w:rsid w:val="00DB64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orteconstitucional.gov.co/RELATORIA/2013/T-117A-13.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orteconstitucional.gov.co/RELATORIA/2013/T-117A-13.htm" TargetMode="External"/><Relationship Id="rId12" Type="http://schemas.openxmlformats.org/officeDocument/2006/relationships/hyperlink" Target="https://www.corteconstitucional.gov.co/relatoria/2020/t-086-20.ht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rteconstitucional.gov.co/relatoria/2020/t-086-20.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corteconstitucional.gov.co/RELATORIA/2013/T-117A-13.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orteconstitucional.gov.co/RELATORIA/2013/T-117A-13.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6153</Words>
  <Characters>33846</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cp:lastModifiedBy>PRO</cp:lastModifiedBy>
  <cp:revision>2</cp:revision>
  <dcterms:created xsi:type="dcterms:W3CDTF">2026-05-14T17:33:00Z</dcterms:created>
  <dcterms:modified xsi:type="dcterms:W3CDTF">2026-05-14T17:33:00Z</dcterms:modified>
</cp:coreProperties>
</file>